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沧州市</w:t>
      </w:r>
      <w:bookmarkStart w:id="0" w:name="_GoBack"/>
      <w:bookmarkEnd w:id="0"/>
      <w:r>
        <w:rPr>
          <w:rFonts w:hint="eastAsia"/>
          <w:sz w:val="48"/>
          <w:szCs w:val="56"/>
          <w:lang w:eastAsia="zh-CN"/>
        </w:rPr>
        <w:t>气象局音像记录清单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919"/>
        <w:gridCol w:w="2295"/>
        <w:gridCol w:w="2145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执法行为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执法环节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执法场所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记录方式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eastAsia="zh-CN"/>
              </w:rPr>
              <w:t>记录过程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行</w:t>
            </w:r>
          </w:p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政</w:t>
            </w:r>
          </w:p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处</w:t>
            </w:r>
          </w:p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罚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现场检查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（勘验）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执法现场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录音、录像、拍照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记录检查起止时间、检查地点、检查人员姓名和执法证号码、当事人的基本情况、通知当事人到场情况、出示执法证件情况、告知当事人权利义务情况、当事人陈述申辩情况、检查情况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9" w:hRule="atLeast"/>
        </w:trPr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调查取证（询问）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调查询问场所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录音、录像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询问时间、地点、询问人姓名和执法证件号码、被询问人情况、询问内容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下达执法文书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执法现场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录音、录像、拍照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记录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当事人的姓名或者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违法单位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名称、地址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、案由，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告知当事人拟处罚的事实、理由和依据和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当事人权力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听证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听证会现场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录音、录像、拍照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案件名称、听证时间和地点、听证主持人、记录员、翻译人员、案件调查人及所属办案机构、当事人或委托代理人的情况、听证过程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51" w:hRule="atLeast"/>
        </w:trPr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重大、复杂、或者重大违法行为给予较重处罚的案件的集体讨论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集体讨论现场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录音、录像、拍照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会议时间和地点、参加人员、主持人、讨论过程、讨论结果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简易程序案件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案件现场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录音、录像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2" w:hRule="atLeast"/>
        </w:trPr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送达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送达场所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录音、录像、拍照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送达过程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7" w:hRule="atLeast"/>
        </w:trPr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行</w:t>
            </w:r>
          </w:p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政</w:t>
            </w:r>
          </w:p>
          <w:p>
            <w:pPr>
              <w:jc w:val="center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许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36"/>
                <w:szCs w:val="36"/>
                <w:lang w:eastAsia="zh-CN"/>
              </w:rPr>
              <w:t>可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申请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申请现场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拍照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申请的当事人、申请资料、执法人员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受理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受理现场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拍照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执法人员证件号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送达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送达现场</w:t>
            </w:r>
          </w:p>
        </w:tc>
        <w:tc>
          <w:tcPr>
            <w:tcW w:w="214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录音、录像、拍照</w:t>
            </w:r>
          </w:p>
        </w:tc>
        <w:tc>
          <w:tcPr>
            <w:tcW w:w="46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送达过程</w:t>
            </w:r>
          </w:p>
        </w:tc>
      </w:tr>
    </w:tbl>
    <w:p>
      <w:pPr>
        <w:jc w:val="center"/>
        <w:rPr>
          <w:rFonts w:hint="eastAsia"/>
          <w:sz w:val="48"/>
          <w:szCs w:val="5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altName w:val="Lucida Sans Unicode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Gabriola">
    <w:altName w:val="Courier New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Iskoola Pota">
    <w:altName w:val="Lucida Sans Unicode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E1768"/>
    <w:rsid w:val="0ECE1768"/>
    <w:rsid w:val="22780329"/>
    <w:rsid w:val="30FF62F9"/>
    <w:rsid w:val="3F531D17"/>
    <w:rsid w:val="771B7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荣诗语</dc:creator>
  <cp:lastModifiedBy>Administrator</cp:lastModifiedBy>
  <cp:revision>1</cp:revision>
  <dcterms:created xsi:type="dcterms:W3CDTF">2017-05-24T00:49:00Z</dcterms:created>
  <dcterms:modified xsi:type="dcterms:W3CDTF">2017-06-07T02:03:23Z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