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廊坊市气象局2020年部门预算信息公开情况说明</w:t>
      </w:r>
    </w:p>
    <w:p>
      <w:pPr>
        <w:ind w:firstLine="880" w:firstLineChars="200"/>
        <w:jc w:val="center"/>
        <w:rPr>
          <w:rFonts w:ascii="Times New Roman" w:hAnsi="Times New Roman" w:eastAsia="方正小标宋_GBK" w:cs="Times New Roman"/>
          <w:sz w:val="44"/>
          <w:szCs w:val="44"/>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按照《预算法》、《地方预决算公开操作规程》和《河北省省级预算公开办法》规定，现将廊坊市气象局2020年部门预算公开如下：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部门职责：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1、负责本行政区域内气象事业发展规划、计划的制定及气象业务建设的组织实施；负责本行政区域内气象设施建设项目的审查；对本行政区域内的气象活动进行指导、监督和行业管理。</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2、组织管理本行政区域内气象探测资料的汇总、传输；依法保护气象探测环境。</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负责本性区域内气象监测、预报管理工作、及时提出气象灾害防御措施，并对重大气象灾害做出评估，为本级人民政府防御气象灾害提供决策依据；管理本行政区域内公众气象预报，灾害性天气警报以及农业气象预报、城市环境气象预报、火险气象等级预报等专业气象预报的发布。</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4、管理本行政区域人工影响天气工作，指导和组织人工影响天气工作；组织管理雷电灾害防御工作，会同有关部门指导对可能遭受袭击的建筑物、构筑物和其他设施安装的雷电灾害防护装置的检测工作。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5、负责向本级人民政府和同级有关部门提出利用保护气象资源和推广应用气候资源区划等成果的建议；组织对气候资源开发利用项目进行气候可行性论证。</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6、组织开展气象法制宣传教育，负责监督有关气象法规的实施，对违反《中华人民共和国气象法》有关规定的行为依法进行处罚，承担有关行政复议和行政诉讼。</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7、统一领导和管理本行政区域内气象部门的计划财务、人事劳动、科研和培训以及业务建设等工作；会同县（市）人民政府对县（市）气象机构实施以部门为主的双重管理；协助地方党委和人民政府做好当地气象部门的精神文明建设和思想政治工作。</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8、承担河北省气象局和廊坊市气象局交办的其它事项。</w:t>
      </w:r>
    </w:p>
    <w:p>
      <w:pPr>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jc w:val="center"/>
        <w:outlineLvl w:val="0"/>
        <w:rPr>
          <w:rFonts w:ascii="仿宋_GB2312" w:hAnsi="Times New Roman" w:eastAsia="仿宋_GB2312" w:cs="Times New Roman"/>
          <w:b/>
          <w:sz w:val="32"/>
          <w:szCs w:val="24"/>
        </w:rPr>
      </w:pPr>
      <w:r>
        <w:rPr>
          <w:rFonts w:hint="eastAsia" w:ascii="仿宋_GB2312" w:hAnsi="Times New Roman" w:eastAsia="仿宋_GB2312" w:cs="Times New Roman"/>
          <w:b/>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restart"/>
            <w:shd w:val="clear" w:color="auto" w:fill="auto"/>
            <w:vAlign w:val="center"/>
          </w:tcPr>
          <w:p>
            <w:pPr>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pPr>
              <w:jc w:val="left"/>
              <w:outlineLvl w:val="0"/>
              <w:rPr>
                <w:rFonts w:ascii="Times New Roman" w:hAnsi="Times New Roman" w:eastAsia="宋体" w:cs="Times New Roman"/>
                <w:szCs w:val="24"/>
              </w:rPr>
            </w:pPr>
          </w:p>
        </w:tc>
        <w:tc>
          <w:tcPr>
            <w:tcW w:w="1134" w:type="dxa"/>
            <w:vMerge w:val="continue"/>
            <w:shd w:val="clear" w:color="auto" w:fill="auto"/>
            <w:vAlign w:val="center"/>
          </w:tcPr>
          <w:p>
            <w:pPr>
              <w:jc w:val="left"/>
              <w:outlineLvl w:val="0"/>
              <w:rPr>
                <w:rFonts w:ascii="Times New Roman" w:hAnsi="Times New Roman" w:eastAsia="宋体" w:cs="Times New Roman"/>
                <w:szCs w:val="24"/>
              </w:rPr>
            </w:pPr>
          </w:p>
        </w:tc>
        <w:tc>
          <w:tcPr>
            <w:tcW w:w="1276" w:type="dxa"/>
            <w:vMerge w:val="continue"/>
            <w:shd w:val="clear" w:color="auto" w:fill="auto"/>
            <w:vAlign w:val="center"/>
          </w:tcPr>
          <w:p>
            <w:pPr>
              <w:jc w:val="left"/>
              <w:outlineLvl w:val="0"/>
              <w:rPr>
                <w:rFonts w:ascii="Times New Roman" w:hAnsi="Times New Roman" w:eastAsia="宋体" w:cs="Times New Roman"/>
                <w:szCs w:val="24"/>
              </w:rPr>
            </w:pPr>
          </w:p>
        </w:tc>
        <w:tc>
          <w:tcPr>
            <w:tcW w:w="2902" w:type="dxa"/>
            <w:vMerge w:val="continue"/>
            <w:shd w:val="clear" w:color="auto" w:fill="auto"/>
            <w:vAlign w:val="center"/>
          </w:tcPr>
          <w:p>
            <w:pPr>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jc w:val="left"/>
              <w:rPr>
                <w:rFonts w:ascii="Times New Roman" w:hAnsi="Times New Roman" w:eastAsia="方正书宋_GBK" w:cs="Times New Roman"/>
                <w:szCs w:val="24"/>
              </w:rPr>
            </w:pPr>
            <w:r>
              <w:rPr>
                <w:rFonts w:hint="eastAsia" w:ascii="Times New Roman" w:hAnsi="Times New Roman" w:eastAsia="方正书宋_GBK" w:cs="Times New Roman"/>
                <w:szCs w:val="24"/>
              </w:rPr>
              <w:t>廊坊市气象局</w:t>
            </w:r>
          </w:p>
        </w:tc>
        <w:tc>
          <w:tcPr>
            <w:tcW w:w="1134" w:type="dxa"/>
            <w:shd w:val="clear" w:color="auto" w:fill="auto"/>
            <w:vAlign w:val="center"/>
          </w:tcPr>
          <w:p>
            <w:pPr>
              <w:jc w:val="left"/>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6" w:type="dxa"/>
            <w:shd w:val="clear" w:color="auto" w:fill="auto"/>
            <w:vAlign w:val="center"/>
          </w:tcPr>
          <w:p>
            <w:pPr>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正处级</w:t>
            </w:r>
          </w:p>
        </w:tc>
        <w:tc>
          <w:tcPr>
            <w:tcW w:w="2902" w:type="dxa"/>
            <w:shd w:val="clear" w:color="auto" w:fill="auto"/>
            <w:vAlign w:val="center"/>
          </w:tcPr>
          <w:p>
            <w:pPr>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财政资金定额或定向补助</w:t>
            </w:r>
          </w:p>
        </w:tc>
      </w:tr>
    </w:tbl>
    <w:p/>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按照预算管理有关规定，目前我市部门预算的编制实行综合预算制度，即全部收入和支出都反映在预算中。廊坊市气象局机关及所属事业单位的收支包含在部门预算中。</w:t>
      </w:r>
    </w:p>
    <w:p>
      <w:pPr>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反映本部门当年全部收入。2020年预算收入2411.64万元，其中：一般公共预算收入2411.64万元，基金预算收入0万元，财政专户核拨收入0万元，其他来源收入0万元。</w:t>
      </w:r>
    </w:p>
    <w:p>
      <w:pPr>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2、支出说明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气象局年度部门预算中支出预算的总体情况。2020年支出预算2411.64万元，其中基本支出830.13万元，包括人员经费806.34万元和日常公用经费23.79万元；项目支出1581.51万元，包括本级支出，主要为大气污染气象条件预报预测经费、气象设施运行维护费、防雷服务经费等。</w:t>
      </w:r>
    </w:p>
    <w:p>
      <w:pPr>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3、比上年增减情况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2020年预算收支安排2411.64万元，较2019年预算增加1297.51万元，其中：基本支出增加26万元，主要为增加人员经费支出；项目支出增加1271.51万元，主要为专项项目支出的增加。</w:t>
      </w:r>
    </w:p>
    <w:p>
      <w:pPr>
        <w:ind w:firstLine="64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autoSpaceDE w:val="0"/>
        <w:autoSpaceDN w:val="0"/>
        <w:adjustRightInd w:val="0"/>
        <w:ind w:left="198"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2020年，我局机关运行经费共计安排23.79万元，主要用于气象局办公区的日常维修、办公用房水电费、办公用房取暖费、办公用房物业管理费等日常运行支出。</w:t>
      </w:r>
    </w:p>
    <w:p>
      <w:pPr>
        <w:ind w:firstLine="640"/>
        <w:rPr>
          <w:rFonts w:ascii="黑体" w:hAnsi="黑体" w:eastAsia="黑体" w:cs="Times New Roman"/>
          <w:sz w:val="32"/>
          <w:szCs w:val="32"/>
        </w:rPr>
      </w:pPr>
      <w:r>
        <w:rPr>
          <w:rFonts w:hint="eastAsia" w:ascii="黑体" w:hAnsi="黑体" w:eastAsia="黑体" w:cs="Times New Roman"/>
          <w:sz w:val="32"/>
          <w:szCs w:val="32"/>
        </w:rPr>
        <w:t>四、财政拨款“三公”经费预算情况及增减变化原因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2020年，我局“三公”经费预算安排0万元，其中因公出国（境）费0万元；公务用车购置及运维费0万元（其中：公务用车购置费为0万元，公务用车运行费0万元)；公务接待费0万元。与2019年持平，无增减变化。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firstLineChars="200"/>
        <w:rPr>
          <w:rFonts w:ascii="楷体" w:hAnsi="楷体" w:eastAsia="楷体" w:cs="Times New Roman"/>
          <w:b/>
          <w:sz w:val="32"/>
          <w:szCs w:val="32"/>
        </w:rPr>
      </w:pPr>
      <w:r>
        <w:rPr>
          <w:rFonts w:hint="eastAsia" w:ascii="Times New Roman" w:hAnsi="黑体" w:eastAsia="黑体" w:cs="Times New Roman"/>
          <w:sz w:val="32"/>
          <w:szCs w:val="32"/>
        </w:rPr>
        <w:t>第一部分 部门整体绩效目标</w:t>
      </w:r>
    </w:p>
    <w:p>
      <w:pPr>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以习近平新时代中国特色社会主义思想为指导，认真落实廊坊市委、市政府工作部署，以深化改革为发展动力，以信息化为基础，以智慧气象为重要标准，切实推进气象现代化建设。提升气象灾害预报预警能力，完善突发预警信息发布系统，气象灾害预警信息公众覆盖率达95%以上，突发灾害性天气预警提前量达到30分钟；提升全市气象装备保障水平，保障气象服务网络安全稳定，安全运行时间超过95%；加强横向联合，在防御队伍建设、灾害天气“叫应”等工作上加强与政府部门和其他地市的沟通协作，实现共建共享。大力提升公共气象服务能力，优化防雷专业气象服务，推进专业服务改革，气象服务满意度稳定在80分以上。加强与省级企、事业单位合作，加强对工业园区、重点企业、特色行业服务，提升气象产业对本地经济发展的直接贡献。</w:t>
      </w:r>
    </w:p>
    <w:p>
      <w:pPr>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1.气象灾害综合监测能力进一步提升</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绩效目标：推进观测业务自动化改革，深化观测质量体系运行，保持观测数据可用率和业务可用性高水平运行，为预报预测预警及服务等业务运行提供基础支撑。</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w:t>
      </w:r>
      <w:r>
        <w:rPr>
          <w:rFonts w:ascii="仿宋_GB2312" w:hAnsi="Times New Roman" w:eastAsia="仿宋_GB2312" w:cs="Times New Roman"/>
          <w:sz w:val="32"/>
          <w:szCs w:val="32"/>
        </w:rPr>
        <w:t>9</w:t>
      </w:r>
      <w:r>
        <w:rPr>
          <w:rFonts w:hint="eastAsia" w:ascii="仿宋_GB2312" w:hAnsi="Times New Roman" w:eastAsia="仿宋_GB2312" w:cs="Times New Roman"/>
          <w:sz w:val="32"/>
          <w:szCs w:val="32"/>
        </w:rPr>
        <w:t>个台站全部建成温度、雨量多传感器标准系统，各增加天气现象视频监测系统</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套，综合观测业务可用性平均不低于</w:t>
      </w:r>
      <w:r>
        <w:rPr>
          <w:rFonts w:ascii="仿宋_GB2312" w:hAnsi="Times New Roman" w:eastAsia="仿宋_GB2312" w:cs="Times New Roman"/>
          <w:sz w:val="32"/>
          <w:szCs w:val="32"/>
        </w:rPr>
        <w:t>90%</w:t>
      </w:r>
      <w:r>
        <w:rPr>
          <w:rFonts w:hint="eastAsia" w:ascii="仿宋_GB2312" w:hAnsi="Times New Roman" w:eastAsia="仿宋_GB2312" w:cs="Times New Roman"/>
          <w:sz w:val="32"/>
          <w:szCs w:val="32"/>
        </w:rPr>
        <w:t>，综合观测数据可用率平均不低于</w:t>
      </w:r>
      <w:r>
        <w:rPr>
          <w:rFonts w:ascii="仿宋_GB2312" w:hAnsi="Times New Roman" w:eastAsia="仿宋_GB2312" w:cs="Times New Roman"/>
          <w:sz w:val="32"/>
          <w:szCs w:val="32"/>
        </w:rPr>
        <w:t>96%</w:t>
      </w:r>
      <w:r>
        <w:rPr>
          <w:rFonts w:hint="eastAsia" w:ascii="仿宋_GB2312" w:hAnsi="Times New Roman" w:eastAsia="仿宋_GB2312" w:cs="Times New Roman"/>
          <w:sz w:val="32"/>
          <w:szCs w:val="32"/>
        </w:rPr>
        <w:t>。</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2.气象灾害预报预警能力整体增强</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绩效目标：建立本地气象灾害预报指标体系，利用预报预警技术业务平台，开展气象灾害分区、分级预警，进一步提高预警准确率、增加预警时间提前量。</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绩效指标：着力提高暴雨预警准确率和强对流天气预警提前量等</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个社会关注度最高的天气预报预警项目。其中，暴雨预警准确率达到</w:t>
      </w:r>
      <w:r>
        <w:rPr>
          <w:rFonts w:ascii="仿宋_GB2312" w:hAnsi="Times New Roman" w:eastAsia="仿宋_GB2312" w:cs="Times New Roman"/>
          <w:sz w:val="32"/>
          <w:szCs w:val="32"/>
        </w:rPr>
        <w:t>85%</w:t>
      </w:r>
      <w:r>
        <w:rPr>
          <w:rFonts w:hint="eastAsia" w:ascii="仿宋_GB2312" w:hAnsi="Times New Roman" w:eastAsia="仿宋_GB2312" w:cs="Times New Roman"/>
          <w:sz w:val="32"/>
          <w:szCs w:val="32"/>
        </w:rPr>
        <w:t>以上，强对流天气预警发布的提前时间达到</w:t>
      </w:r>
      <w:r>
        <w:rPr>
          <w:rFonts w:ascii="仿宋_GB2312" w:hAnsi="Times New Roman" w:eastAsia="仿宋_GB2312" w:cs="Times New Roman"/>
          <w:sz w:val="32"/>
          <w:szCs w:val="32"/>
        </w:rPr>
        <w:t>25</w:t>
      </w:r>
      <w:r>
        <w:rPr>
          <w:rFonts w:hint="eastAsia" w:ascii="仿宋_GB2312" w:hAnsi="Times New Roman" w:eastAsia="仿宋_GB2312" w:cs="Times New Roman"/>
          <w:sz w:val="32"/>
          <w:szCs w:val="32"/>
        </w:rPr>
        <w:t>分钟。</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3.突发事件预警信息发布能力进一步提升</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完善突发事件预警信息发布系统建设，配合省气象局建立预警信息实时监控机制，保障突发事件预警信息发布系统稳定运行，提高预警发布范围，实现预警信息快速、准确送达，提升突发事件预警信息发布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绩效指标：突发事件预警信息发布系统稳定运行时间超过</w:t>
      </w:r>
      <w:r>
        <w:rPr>
          <w:rFonts w:ascii="仿宋_GB2312" w:hAnsi="Times New Roman" w:eastAsia="仿宋_GB2312" w:cs="Times New Roman"/>
          <w:sz w:val="32"/>
          <w:szCs w:val="32"/>
        </w:rPr>
        <w:t>98%</w:t>
      </w:r>
      <w:r>
        <w:rPr>
          <w:rFonts w:hint="eastAsia" w:ascii="仿宋_GB2312" w:hAnsi="Times New Roman" w:eastAsia="仿宋_GB2312" w:cs="Times New Roman"/>
          <w:sz w:val="32"/>
          <w:szCs w:val="32"/>
        </w:rPr>
        <w:t>；突发事件预警信息发布准确率超过</w:t>
      </w:r>
      <w:r>
        <w:rPr>
          <w:rFonts w:ascii="仿宋_GB2312" w:hAnsi="Times New Roman" w:eastAsia="仿宋_GB2312" w:cs="Times New Roman"/>
          <w:sz w:val="32"/>
          <w:szCs w:val="32"/>
        </w:rPr>
        <w:t>99%</w:t>
      </w:r>
      <w:r>
        <w:rPr>
          <w:rFonts w:hint="eastAsia" w:ascii="仿宋_GB2312" w:hAnsi="Times New Roman" w:eastAsia="仿宋_GB2312" w:cs="Times New Roman"/>
          <w:sz w:val="32"/>
          <w:szCs w:val="32"/>
        </w:rPr>
        <w:t>。</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4.大气污染气象服务保障能力进一步提升</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绩效目标：强化重污染天气应对气象保障服务，进一步完善《廊坊市环境气象与预报预警业务系统平台》，加强环境气象业务支撑能力建设，提升全市大气污染防治气象保障综合能力。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绩效指标：《廊坊市环境气象与预报预警业务系统平台》稳定运行时间超过</w:t>
      </w:r>
      <w:r>
        <w:rPr>
          <w:rFonts w:ascii="仿宋_GB2312" w:hAnsi="Times New Roman" w:eastAsia="仿宋_GB2312" w:cs="Times New Roman"/>
          <w:sz w:val="32"/>
          <w:szCs w:val="32"/>
        </w:rPr>
        <w:t>98%</w:t>
      </w:r>
      <w:r>
        <w:rPr>
          <w:rFonts w:hint="eastAsia" w:ascii="仿宋_GB2312" w:hAnsi="Times New Roman" w:eastAsia="仿宋_GB2312" w:cs="Times New Roman"/>
          <w:sz w:val="32"/>
          <w:szCs w:val="32"/>
        </w:rPr>
        <w:t>，开展全市大气污染气象扩散条件预报分析，空气质量预报时效延长到</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天；制作发布</w:t>
      </w: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种以上环境气象服务产品；与环保局和专家组配合，努力实现重污染天气预警提前</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天发布。</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5.提升汛期及重大活动气象保障能力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智能网格预报产品和其他数值产品的解释、应用；加强新型探测资料应用，尝试利用新技术新方法改进汛期灾害性天气预报方法，加强汛期灾害性天气落区预报和重大活动中的时空精细化气象服务，进一步提升汛期及重大活动的气象服务保障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绩效指标：《河北省集约化综合气象业务平台》稳定运行时间超过</w:t>
      </w:r>
      <w:r>
        <w:rPr>
          <w:rFonts w:ascii="仿宋_GB2312" w:hAnsi="Times New Roman" w:eastAsia="仿宋_GB2312" w:cs="Times New Roman"/>
          <w:sz w:val="32"/>
          <w:szCs w:val="32"/>
        </w:rPr>
        <w:t>98%</w:t>
      </w:r>
      <w:r>
        <w:rPr>
          <w:rFonts w:hint="eastAsia" w:ascii="仿宋_GB2312" w:hAnsi="Times New Roman" w:eastAsia="仿宋_GB2312" w:cs="Times New Roman"/>
          <w:sz w:val="32"/>
          <w:szCs w:val="32"/>
        </w:rPr>
        <w:t>，智能网格预报产品和其他数值产品在预报业务中得到普遍应用；汛期重大灾害性天气、高影响天气过程不漏报，</w:t>
      </w:r>
      <w:r>
        <w:rPr>
          <w:rFonts w:ascii="仿宋_GB2312" w:hAnsi="Times New Roman" w:eastAsia="仿宋_GB2312" w:cs="Times New Roman"/>
          <w:sz w:val="32"/>
          <w:szCs w:val="32"/>
        </w:rPr>
        <w:t>“5.18”</w:t>
      </w:r>
      <w:r>
        <w:rPr>
          <w:rFonts w:hint="eastAsia" w:ascii="仿宋_GB2312" w:hAnsi="Times New Roman" w:eastAsia="仿宋_GB2312" w:cs="Times New Roman"/>
          <w:sz w:val="32"/>
          <w:szCs w:val="32"/>
        </w:rPr>
        <w:t>、两会及重要节假日等重大活动决策服务根据需要提前到</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天。</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6.气象灾害风险防范能力显著提高</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绩效目标：开展专项气象灾害普查，编制气象灾害风险区划；加大重大气象灾害现场调查，强化灾害风险评估业务；加大基层气象防灾减灾标准化建设，提升基层气象防灾减灾能力。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绩效指标：完成专项气象灾害普查，数据完备度达</w:t>
      </w:r>
      <w:r>
        <w:rPr>
          <w:rFonts w:ascii="仿宋_GB2312" w:hAnsi="Times New Roman" w:eastAsia="仿宋_GB2312" w:cs="Times New Roman"/>
          <w:sz w:val="32"/>
          <w:szCs w:val="32"/>
        </w:rPr>
        <w:t>60%</w:t>
      </w:r>
      <w:r>
        <w:rPr>
          <w:rFonts w:hint="eastAsia" w:ascii="仿宋_GB2312" w:hAnsi="Times New Roman" w:eastAsia="仿宋_GB2312" w:cs="Times New Roman"/>
          <w:sz w:val="32"/>
          <w:szCs w:val="32"/>
        </w:rPr>
        <w:t>以上，制作气象灾害风险区划地图；重大气象灾害灾情现场调查率达到</w:t>
      </w:r>
      <w:r>
        <w:rPr>
          <w:rFonts w:ascii="仿宋_GB2312" w:hAnsi="Times New Roman" w:eastAsia="仿宋_GB2312" w:cs="Times New Roman"/>
          <w:sz w:val="32"/>
          <w:szCs w:val="32"/>
        </w:rPr>
        <w:t>50%</w:t>
      </w:r>
      <w:r>
        <w:rPr>
          <w:rFonts w:hint="eastAsia" w:ascii="仿宋_GB2312" w:hAnsi="Times New Roman" w:eastAsia="仿宋_GB2312" w:cs="Times New Roman"/>
          <w:sz w:val="32"/>
          <w:szCs w:val="32"/>
        </w:rPr>
        <w:t>，完成重大气象灾害风险评估；完成各县（市）气象防灾减灾地图；实现决策指挥平台本地化，本地化率达</w:t>
      </w:r>
      <w:r>
        <w:rPr>
          <w:rFonts w:ascii="仿宋_GB2312" w:hAnsi="Times New Roman" w:eastAsia="仿宋_GB2312" w:cs="Times New Roman"/>
          <w:sz w:val="32"/>
          <w:szCs w:val="32"/>
        </w:rPr>
        <w:t>70%</w:t>
      </w:r>
      <w:r>
        <w:rPr>
          <w:rFonts w:hint="eastAsia" w:ascii="仿宋_GB2312" w:hAnsi="Times New Roman" w:eastAsia="仿宋_GB2312" w:cs="Times New Roman"/>
          <w:sz w:val="32"/>
          <w:szCs w:val="32"/>
        </w:rPr>
        <w:t>；完成基层人员气象灾害防御能力提升工作。</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7.提升公共气象服务能力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绩效目标：完善廊坊市公众气象服务平台并做好运行维护；完成电视气象节目制作与发布、廊坊气象宣传等业务；提高以微博、微信、手机</w:t>
      </w:r>
      <w:r>
        <w:rPr>
          <w:rFonts w:ascii="仿宋_GB2312" w:hAnsi="Times New Roman" w:eastAsia="仿宋_GB2312" w:cs="Times New Roman"/>
          <w:sz w:val="32"/>
          <w:szCs w:val="32"/>
        </w:rPr>
        <w:t>APP</w:t>
      </w:r>
      <w:r>
        <w:rPr>
          <w:rFonts w:hint="eastAsia" w:ascii="仿宋_GB2312" w:hAnsi="Times New Roman" w:eastAsia="仿宋_GB2312" w:cs="Times New Roman"/>
          <w:sz w:val="32"/>
          <w:szCs w:val="32"/>
        </w:rPr>
        <w:t>为代表的新媒体公众气象服务水平；做好廊坊决策气象、公共气象服务网站的维护；提高设施农业和遥感等气象服务能力。</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绩效指标：每天制作电视气象节目不低于</w:t>
      </w:r>
      <w:r>
        <w:rPr>
          <w:rFonts w:ascii="仿宋_GB2312" w:hAnsi="Times New Roman" w:eastAsia="仿宋_GB2312" w:cs="Times New Roman"/>
          <w:sz w:val="32"/>
          <w:szCs w:val="32"/>
        </w:rPr>
        <w:t>7</w:t>
      </w:r>
      <w:r>
        <w:rPr>
          <w:rFonts w:hint="eastAsia" w:ascii="仿宋_GB2312" w:hAnsi="Times New Roman" w:eastAsia="仿宋_GB2312" w:cs="Times New Roman"/>
          <w:sz w:val="32"/>
          <w:szCs w:val="32"/>
        </w:rPr>
        <w:t>档（含</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个县），制作时长不低于</w:t>
      </w:r>
      <w:r>
        <w:rPr>
          <w:rFonts w:ascii="仿宋_GB2312" w:hAnsi="Times New Roman" w:eastAsia="仿宋_GB2312" w:cs="Times New Roman"/>
          <w:sz w:val="32"/>
          <w:szCs w:val="32"/>
        </w:rPr>
        <w:t>15</w:t>
      </w:r>
      <w:r>
        <w:rPr>
          <w:rFonts w:hint="eastAsia" w:ascii="仿宋_GB2312" w:hAnsi="Times New Roman" w:eastAsia="仿宋_GB2312" w:cs="Times New Roman"/>
          <w:sz w:val="32"/>
          <w:szCs w:val="32"/>
        </w:rPr>
        <w:t>分钟，播出不低于</w:t>
      </w:r>
      <w:r>
        <w:rPr>
          <w:rFonts w:ascii="仿宋_GB2312" w:hAnsi="Times New Roman" w:eastAsia="仿宋_GB2312" w:cs="Times New Roman"/>
          <w:sz w:val="32"/>
          <w:szCs w:val="32"/>
        </w:rPr>
        <w:t>18</w:t>
      </w:r>
      <w:r>
        <w:rPr>
          <w:rFonts w:hint="eastAsia" w:ascii="仿宋_GB2312" w:hAnsi="Times New Roman" w:eastAsia="仿宋_GB2312" w:cs="Times New Roman"/>
          <w:sz w:val="32"/>
          <w:szCs w:val="32"/>
        </w:rPr>
        <w:t>分钟；实现公众用户通过各种媒介获取气象服务产品全年</w:t>
      </w:r>
      <w:r>
        <w:rPr>
          <w:rFonts w:ascii="仿宋_GB2312" w:hAnsi="Times New Roman" w:eastAsia="仿宋_GB2312" w:cs="Times New Roman"/>
          <w:sz w:val="32"/>
          <w:szCs w:val="32"/>
        </w:rPr>
        <w:t>365</w:t>
      </w:r>
      <w:r>
        <w:rPr>
          <w:rFonts w:hint="eastAsia" w:ascii="仿宋_GB2312" w:hAnsi="Times New Roman" w:eastAsia="仿宋_GB2312" w:cs="Times New Roman"/>
          <w:sz w:val="32"/>
          <w:szCs w:val="32"/>
        </w:rPr>
        <w:t>天不间断；廊坊决策气象、公共气象服务网站实现</w:t>
      </w:r>
      <w:r>
        <w:rPr>
          <w:rFonts w:ascii="仿宋_GB2312" w:hAnsi="Times New Roman" w:eastAsia="仿宋_GB2312" w:cs="Times New Roman"/>
          <w:sz w:val="32"/>
          <w:szCs w:val="32"/>
        </w:rPr>
        <w:t>365</w:t>
      </w:r>
      <w:r>
        <w:rPr>
          <w:rFonts w:hint="eastAsia" w:ascii="仿宋_GB2312" w:hAnsi="Times New Roman" w:eastAsia="仿宋_GB2312" w:cs="Times New Roman"/>
          <w:sz w:val="32"/>
          <w:szCs w:val="32"/>
        </w:rPr>
        <w:t>天正常运行；遇农业灾害性天气至少提前</w:t>
      </w:r>
      <w:r>
        <w:rPr>
          <w:rFonts w:ascii="仿宋_GB2312" w:hAnsi="Times New Roman" w:eastAsia="仿宋_GB2312" w:cs="Times New Roman"/>
          <w:sz w:val="32"/>
          <w:szCs w:val="32"/>
        </w:rPr>
        <w:t>12</w:t>
      </w:r>
      <w:r>
        <w:rPr>
          <w:rFonts w:hint="eastAsia" w:ascii="仿宋_GB2312" w:hAnsi="Times New Roman" w:eastAsia="仿宋_GB2312" w:cs="Times New Roman"/>
          <w:sz w:val="32"/>
          <w:szCs w:val="32"/>
        </w:rPr>
        <w:t>小时发布农业气象服务产品；提供遥感气象服务产品。</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8.完善气象业务和装备保障水平</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提升全市装备保障水平，推进气象业务平台现代化建设。保障全市各类气象观测设备正常运行；建设完善的网络安全及运维系统，保障气象专网和服务网络安全稳定、正常运行；提升预警系统平台集约化及现代化水平，支撑预报预测预警及服务等业务高效开展。</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绩效指标：业务所用观测设备全年正常运行时间超过</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；提升基础设施存储和广域网性能，数据质量达到</w:t>
      </w:r>
      <w:r>
        <w:rPr>
          <w:rFonts w:ascii="仿宋_GB2312" w:hAnsi="Times New Roman" w:eastAsia="仿宋_GB2312" w:cs="Times New Roman"/>
          <w:sz w:val="32"/>
          <w:szCs w:val="32"/>
        </w:rPr>
        <w:t>90%</w:t>
      </w:r>
      <w:r>
        <w:rPr>
          <w:rFonts w:hint="eastAsia" w:ascii="仿宋_GB2312" w:hAnsi="Times New Roman" w:eastAsia="仿宋_GB2312" w:cs="Times New Roman"/>
          <w:sz w:val="32"/>
          <w:szCs w:val="32"/>
        </w:rPr>
        <w:t>，数据时效达到</w:t>
      </w:r>
      <w:r>
        <w:rPr>
          <w:rFonts w:ascii="仿宋_GB2312" w:hAnsi="Times New Roman" w:eastAsia="仿宋_GB2312" w:cs="Times New Roman"/>
          <w:sz w:val="32"/>
          <w:szCs w:val="32"/>
        </w:rPr>
        <w:t>85%</w:t>
      </w:r>
      <w:r>
        <w:rPr>
          <w:rFonts w:hint="eastAsia" w:ascii="仿宋_GB2312" w:hAnsi="Times New Roman" w:eastAsia="仿宋_GB2312" w:cs="Times New Roman"/>
          <w:sz w:val="32"/>
          <w:szCs w:val="32"/>
        </w:rPr>
        <w:t>；建成网络安全平台，网络安全拦截率达到</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；升级预警系统平台，预警信息平台稳定运行时间超过</w:t>
      </w:r>
      <w:r>
        <w:rPr>
          <w:rFonts w:ascii="仿宋_GB2312" w:hAnsi="Times New Roman" w:eastAsia="仿宋_GB2312" w:cs="Times New Roman"/>
          <w:sz w:val="32"/>
          <w:szCs w:val="32"/>
        </w:rPr>
        <w:t>95%</w:t>
      </w:r>
      <w:r>
        <w:rPr>
          <w:rFonts w:hint="eastAsia" w:ascii="仿宋_GB2312" w:hAnsi="Times New Roman" w:eastAsia="仿宋_GB2312" w:cs="Times New Roman"/>
          <w:sz w:val="32"/>
          <w:szCs w:val="32"/>
        </w:rPr>
        <w:t>。</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9.气象社会治理能力显著增强</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绩效目标：落实社会管理职能，加快推进</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互联网</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审批服务</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和</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线上线下深度融合</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，进一步提高审批效率。通过书面检查与双随机抽查相结合的方式，推进防雷重点单位防雷安全检查全覆盖。</w:t>
      </w:r>
    </w:p>
    <w:p>
      <w:pPr>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绩效指标：行政许可审批事项全部实现网上办理；双随机执法抽查率达到</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；防雷安全重点单位防雷安全检查覆盖率达到</w:t>
      </w:r>
      <w:r>
        <w:rPr>
          <w:rFonts w:ascii="仿宋_GB2312" w:hAnsi="Times New Roman" w:eastAsia="仿宋_GB2312" w:cs="Times New Roman"/>
          <w:sz w:val="32"/>
          <w:szCs w:val="32"/>
        </w:rPr>
        <w:t>100%</w:t>
      </w:r>
      <w:r>
        <w:rPr>
          <w:rFonts w:hint="eastAsia" w:ascii="仿宋_GB2312" w:hAnsi="Times New Roman" w:eastAsia="仿宋_GB2312" w:cs="Times New Roman"/>
          <w:sz w:val="32"/>
          <w:szCs w:val="32"/>
        </w:rPr>
        <w:t>。</w:t>
      </w:r>
    </w:p>
    <w:p>
      <w:pPr>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1.完善制度建设。</w:t>
      </w:r>
      <w:r>
        <w:rPr>
          <w:rFonts w:hint="eastAsia" w:ascii="仿宋_GB2312" w:hAnsi="Times New Roman" w:eastAsia="仿宋_GB2312" w:cs="Times New Roman"/>
          <w:sz w:val="32"/>
          <w:szCs w:val="32"/>
        </w:rPr>
        <w:t>围绕预算绩效管理主要内容和关键环节，制定涵盖预算绩效管理各个环节的管理制度和实施细则；建立健全全面实施预算绩效管理的工作机制和保障制度；严格落实各项预算资金管理办法，为全年预算绩效目标的实现奠定制度基础。</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2.加强支出管理。</w:t>
      </w:r>
      <w:r>
        <w:rPr>
          <w:rFonts w:hint="eastAsia" w:ascii="仿宋_GB2312" w:hAnsi="Times New Roman" w:eastAsia="仿宋_GB2312" w:cs="Times New Roman"/>
          <w:sz w:val="32"/>
          <w:szCs w:val="32"/>
        </w:rPr>
        <w:t>进一步优化支出结构，强化年度预算编制的科学性，编细编实年度预算；做好项目前期准备工作，尽早启动项目，加快履行政府采购手续，及时支付资金，确保各时间节点的支出进度达标。</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3.加强绩效运行监控。</w:t>
      </w:r>
      <w:r>
        <w:rPr>
          <w:rFonts w:hint="eastAsia" w:ascii="仿宋_GB2312" w:hAnsi="Times New Roman" w:eastAsia="仿宋_GB2312" w:cs="Times New Roman"/>
          <w:sz w:val="32"/>
          <w:szCs w:val="32"/>
        </w:rPr>
        <w:t>明确监控范围、细化监控内容，对重点项目实施全面监控，及时跟踪目标实现程度和预算执行情况，对专项资金产生的经济效益、社会效益和公众满意度等绩效目标实现情况进行收集、分析，并对全年绩效目标完成情况进行综合判断，发现问题及时纠偏，确保绩效目标如期保质实现。</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4.做好绩效自评。</w:t>
      </w:r>
      <w:r>
        <w:rPr>
          <w:rFonts w:hint="eastAsia" w:ascii="仿宋_GB2312" w:hAnsi="Times New Roman" w:eastAsia="仿宋_GB2312" w:cs="Times New Roman"/>
          <w:sz w:val="32"/>
          <w:szCs w:val="32"/>
        </w:rPr>
        <w:t>按要求开展上年度部门预算绩效自评和重点评价工作，对评价中发现的问题及时整改，调整优化支出结构，强化绩效自评结果应用，与项目责任人的相关考核挂钩，与项目单位下一年度预算安排挂钩，提高财政资金的使用效益。</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5.规范财务资产管理。</w:t>
      </w:r>
      <w:r>
        <w:rPr>
          <w:rFonts w:hint="eastAsia" w:ascii="仿宋_GB2312" w:hAnsi="Times New Roman" w:eastAsia="仿宋_GB2312" w:cs="Times New Roman"/>
          <w:sz w:val="32"/>
          <w:szCs w:val="32"/>
        </w:rPr>
        <w:t>完善各项财务管理制度，提高制度执行力。严格履行大额资金支出审批等集体决策程序。加强固定资产登记、使用和报废处置管理，做到支出合理，物尽其用。</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6.加强内部监督。</w:t>
      </w:r>
      <w:r>
        <w:rPr>
          <w:rFonts w:hint="eastAsia" w:ascii="仿宋_GB2312" w:hAnsi="Times New Roman" w:eastAsia="仿宋_GB2312" w:cs="Times New Roman"/>
          <w:sz w:val="32"/>
          <w:szCs w:val="32"/>
        </w:rPr>
        <w:t>加强内部监督制度建设，对绩效运行情况、重大支出决策、资产处置及其他重要经济业务事项的决策和执行进行督导，配合做好审计、巡视巡察、财政监督等监督工作，确保财政资金安全有效。</w:t>
      </w:r>
    </w:p>
    <w:p>
      <w:pPr>
        <w:ind w:firstLine="643" w:firstLineChars="200"/>
        <w:jc w:val="left"/>
        <w:rPr>
          <w:rFonts w:ascii="仿宋_GB2312" w:hAnsi="Times New Roman" w:eastAsia="仿宋_GB2312" w:cs="Times New Roman"/>
          <w:sz w:val="32"/>
          <w:szCs w:val="32"/>
        </w:rPr>
      </w:pPr>
      <w:r>
        <w:rPr>
          <w:rFonts w:hint="eastAsia" w:ascii="楷体" w:hAnsi="楷体" w:eastAsia="楷体" w:cs="Times New Roman"/>
          <w:b/>
          <w:sz w:val="32"/>
          <w:szCs w:val="32"/>
        </w:rPr>
        <w:t>7.加强宣传培训调研等。</w:t>
      </w:r>
      <w:r>
        <w:rPr>
          <w:rFonts w:hint="eastAsia" w:ascii="仿宋_GB2312" w:hAnsi="Times New Roman" w:eastAsia="仿宋_GB2312" w:cs="Times New Roman"/>
          <w:sz w:val="32"/>
          <w:szCs w:val="32"/>
        </w:rPr>
        <w:t>加强人员培训，提高本部门职工业务素质；加强调研，提出优化财政资金配置、提高资金使用效益的意见；加大宣传力度，强化预算绩效管理意识，促进预算绩效管理水平进一步提升。</w:t>
      </w: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w:t>
      </w: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1、大气污染气象条件预报预测经费绩效目标表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0" w:name="_Toc29800273"/>
      <w:r>
        <w:rPr>
          <w:rFonts w:ascii="Times New Roman" w:hAnsi="Times New Roman" w:eastAsia="仿宋_GB2312" w:cs="Times New Roman"/>
          <w:sz w:val="28"/>
        </w:rPr>
        <w:instrText xml:space="preserve">1、大气污染气象条件预报预测经费绩效目标表</w:instrText>
      </w:r>
      <w:bookmarkEnd w:id="0"/>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025"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3"/>
        <w:gridCol w:w="111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8" w:hRule="atLeast"/>
        </w:trPr>
        <w:tc>
          <w:tcPr>
            <w:tcW w:w="1843"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182"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1、通过实施该项目，确保实现环境空气质量改变目标，强化气象预报预测能力，利用省局平台提升环境事故气象应急保障能力。</w:t>
            </w:r>
          </w:p>
          <w:p>
            <w:pPr>
              <w:spacing w:line="300" w:lineRule="exact"/>
              <w:jc w:val="left"/>
              <w:rPr>
                <w:rFonts w:ascii="方正书宋_GBK" w:eastAsia="方正书宋_GBK"/>
              </w:rPr>
            </w:pPr>
            <w:r>
              <w:rPr>
                <w:rFonts w:ascii="方正书宋_GBK" w:eastAsia="方正书宋_GBK"/>
              </w:rPr>
              <w:t>2、通过实施该项目，保证相关业务设备、系统平台的正常运行，为开展预报预测提供基础数据。</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04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43"/>
        <w:gridCol w:w="1614"/>
        <w:gridCol w:w="2213"/>
        <w:gridCol w:w="4111"/>
        <w:gridCol w:w="1276"/>
        <w:gridCol w:w="19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tblHeader/>
        </w:trPr>
        <w:tc>
          <w:tcPr>
            <w:tcW w:w="1843"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614"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213"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4111"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987"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trPr>
        <w:tc>
          <w:tcPr>
            <w:tcW w:w="1843"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614"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213" w:type="dxa"/>
            <w:shd w:val="clear" w:color="auto" w:fill="auto"/>
            <w:vAlign w:val="center"/>
          </w:tcPr>
          <w:p>
            <w:pPr>
              <w:spacing w:line="300" w:lineRule="exact"/>
              <w:jc w:val="left"/>
              <w:rPr>
                <w:rFonts w:ascii="方正书宋_GBK" w:eastAsia="方正书宋_GBK"/>
              </w:rPr>
            </w:pPr>
            <w:r>
              <w:rPr>
                <w:rFonts w:ascii="方正书宋_GBK" w:eastAsia="方正书宋_GBK"/>
              </w:rPr>
              <w:t>气象扩散条件预报服务次数</w:t>
            </w:r>
          </w:p>
        </w:tc>
        <w:tc>
          <w:tcPr>
            <w:tcW w:w="4111" w:type="dxa"/>
            <w:shd w:val="clear" w:color="auto" w:fill="auto"/>
            <w:vAlign w:val="center"/>
          </w:tcPr>
          <w:p>
            <w:pPr>
              <w:spacing w:line="300" w:lineRule="exact"/>
              <w:jc w:val="left"/>
              <w:rPr>
                <w:rFonts w:ascii="方正书宋_GBK" w:eastAsia="方正书宋_GBK"/>
              </w:rPr>
            </w:pPr>
            <w:r>
              <w:rPr>
                <w:rFonts w:ascii="方正书宋_GBK" w:eastAsia="方正书宋_GBK"/>
              </w:rPr>
              <w:t>每天定时完成环境气象扩散条件的预报，污染天气时加密预报次数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≥365次</w:t>
            </w:r>
          </w:p>
        </w:tc>
        <w:tc>
          <w:tcPr>
            <w:tcW w:w="1987" w:type="dxa"/>
            <w:shd w:val="clear" w:color="auto" w:fill="auto"/>
            <w:vAlign w:val="center"/>
          </w:tcPr>
          <w:p>
            <w:pPr>
              <w:spacing w:line="300" w:lineRule="exact"/>
              <w:jc w:val="left"/>
              <w:rPr>
                <w:rFonts w:ascii="方正书宋_GBK" w:eastAsia="方正书宋_GBK"/>
              </w:rPr>
            </w:pPr>
            <w:r>
              <w:rPr>
                <w:rFonts w:ascii="方正书宋_GBK" w:eastAsia="方正书宋_GBK"/>
              </w:rPr>
              <w:t>年底预报服务统计报表</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trPr>
        <w:tc>
          <w:tcPr>
            <w:tcW w:w="1843" w:type="dxa"/>
            <w:vMerge w:val="continue"/>
            <w:shd w:val="clear" w:color="auto" w:fill="auto"/>
            <w:vAlign w:val="center"/>
          </w:tcPr>
          <w:p>
            <w:pPr>
              <w:spacing w:line="300" w:lineRule="exact"/>
              <w:jc w:val="center"/>
              <w:rPr>
                <w:rFonts w:ascii="方正书宋_GBK" w:eastAsia="方正书宋_GBK"/>
              </w:rPr>
            </w:pPr>
          </w:p>
        </w:tc>
        <w:tc>
          <w:tcPr>
            <w:tcW w:w="1614"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213" w:type="dxa"/>
            <w:shd w:val="clear" w:color="auto" w:fill="auto"/>
            <w:vAlign w:val="center"/>
          </w:tcPr>
          <w:p>
            <w:pPr>
              <w:spacing w:line="300" w:lineRule="exact"/>
              <w:jc w:val="left"/>
              <w:rPr>
                <w:rFonts w:ascii="方正书宋_GBK" w:eastAsia="方正书宋_GBK"/>
              </w:rPr>
            </w:pPr>
            <w:r>
              <w:rPr>
                <w:rFonts w:ascii="方正书宋_GBK" w:eastAsia="方正书宋_GBK"/>
              </w:rPr>
              <w:t>制作发布《环境气象周报》</w:t>
            </w:r>
          </w:p>
        </w:tc>
        <w:tc>
          <w:tcPr>
            <w:tcW w:w="4111" w:type="dxa"/>
            <w:shd w:val="clear" w:color="auto" w:fill="auto"/>
            <w:vAlign w:val="center"/>
          </w:tcPr>
          <w:p>
            <w:pPr>
              <w:spacing w:line="300" w:lineRule="exact"/>
              <w:jc w:val="left"/>
              <w:rPr>
                <w:rFonts w:ascii="方正书宋_GBK" w:eastAsia="方正书宋_GBK"/>
              </w:rPr>
            </w:pPr>
            <w:r>
              <w:rPr>
                <w:rFonts w:ascii="方正书宋_GBK" w:eastAsia="方正书宋_GBK"/>
              </w:rPr>
              <w:t>每周一对上周气象扩散条件进行分析并对未来一周气象扩散条件进行预报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≥52次</w:t>
            </w:r>
          </w:p>
        </w:tc>
        <w:tc>
          <w:tcPr>
            <w:tcW w:w="1987" w:type="dxa"/>
            <w:shd w:val="clear" w:color="auto" w:fill="auto"/>
            <w:vAlign w:val="center"/>
          </w:tcPr>
          <w:p>
            <w:pPr>
              <w:spacing w:line="300" w:lineRule="exact"/>
              <w:jc w:val="left"/>
              <w:rPr>
                <w:rFonts w:ascii="方正书宋_GBK" w:eastAsia="方正书宋_GBK"/>
              </w:rPr>
            </w:pPr>
            <w:r>
              <w:rPr>
                <w:rFonts w:ascii="方正书宋_GBK" w:eastAsia="方正书宋_GBK"/>
              </w:rPr>
              <w:t>年底环境周报统计报表</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trPr>
        <w:tc>
          <w:tcPr>
            <w:tcW w:w="1843" w:type="dxa"/>
            <w:vMerge w:val="continue"/>
            <w:shd w:val="clear" w:color="auto" w:fill="auto"/>
            <w:vAlign w:val="center"/>
          </w:tcPr>
          <w:p>
            <w:pPr>
              <w:spacing w:line="300" w:lineRule="exact"/>
              <w:jc w:val="center"/>
              <w:rPr>
                <w:rFonts w:ascii="方正书宋_GBK" w:eastAsia="方正书宋_GBK"/>
              </w:rPr>
            </w:pPr>
          </w:p>
        </w:tc>
        <w:tc>
          <w:tcPr>
            <w:tcW w:w="1614"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213" w:type="dxa"/>
            <w:shd w:val="clear" w:color="auto" w:fill="auto"/>
            <w:vAlign w:val="center"/>
          </w:tcPr>
          <w:p>
            <w:pPr>
              <w:spacing w:line="300" w:lineRule="exact"/>
              <w:jc w:val="left"/>
              <w:rPr>
                <w:rFonts w:ascii="方正书宋_GBK" w:eastAsia="方正书宋_GBK"/>
              </w:rPr>
            </w:pPr>
            <w:r>
              <w:rPr>
                <w:rFonts w:ascii="方正书宋_GBK" w:eastAsia="方正书宋_GBK"/>
              </w:rPr>
              <w:t>决策服务合格率</w:t>
            </w:r>
          </w:p>
        </w:tc>
        <w:tc>
          <w:tcPr>
            <w:tcW w:w="4111" w:type="dxa"/>
            <w:shd w:val="clear" w:color="auto" w:fill="auto"/>
            <w:vAlign w:val="center"/>
          </w:tcPr>
          <w:p>
            <w:pPr>
              <w:spacing w:line="300" w:lineRule="exact"/>
              <w:jc w:val="left"/>
              <w:rPr>
                <w:rFonts w:ascii="方正书宋_GBK" w:eastAsia="方正书宋_GBK"/>
              </w:rPr>
            </w:pPr>
            <w:r>
              <w:rPr>
                <w:rFonts w:ascii="方正书宋_GBK" w:eastAsia="方正书宋_GBK"/>
              </w:rPr>
              <w:t>决策服务信息准确无误，符合市政府或相关单位要求</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≥95%</w:t>
            </w:r>
          </w:p>
        </w:tc>
        <w:tc>
          <w:tcPr>
            <w:tcW w:w="1987" w:type="dxa"/>
            <w:shd w:val="clear" w:color="auto" w:fill="auto"/>
            <w:vAlign w:val="center"/>
          </w:tcPr>
          <w:p>
            <w:pPr>
              <w:spacing w:line="300" w:lineRule="exact"/>
              <w:jc w:val="left"/>
              <w:rPr>
                <w:rFonts w:ascii="方正书宋_GBK" w:eastAsia="方正书宋_GBK"/>
              </w:rPr>
            </w:pPr>
            <w:r>
              <w:rPr>
                <w:rFonts w:ascii="方正书宋_GBK" w:eastAsia="方正书宋_GBK"/>
              </w:rPr>
              <w:t>根据服务单位的反馈情况统计表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7" w:hRule="atLeast"/>
        </w:trPr>
        <w:tc>
          <w:tcPr>
            <w:tcW w:w="1843"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614"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213" w:type="dxa"/>
            <w:shd w:val="clear" w:color="auto" w:fill="auto"/>
            <w:vAlign w:val="center"/>
          </w:tcPr>
          <w:p>
            <w:pPr>
              <w:spacing w:line="300" w:lineRule="exact"/>
              <w:jc w:val="left"/>
              <w:rPr>
                <w:rFonts w:ascii="方正书宋_GBK" w:eastAsia="方正书宋_GBK"/>
              </w:rPr>
            </w:pPr>
            <w:r>
              <w:rPr>
                <w:rFonts w:ascii="方正书宋_GBK" w:eastAsia="方正书宋_GBK"/>
              </w:rPr>
              <w:t>受众人口满意度</w:t>
            </w:r>
          </w:p>
        </w:tc>
        <w:tc>
          <w:tcPr>
            <w:tcW w:w="4111" w:type="dxa"/>
            <w:shd w:val="clear" w:color="auto" w:fill="auto"/>
            <w:vAlign w:val="center"/>
          </w:tcPr>
          <w:p>
            <w:pPr>
              <w:spacing w:line="300" w:lineRule="exact"/>
              <w:jc w:val="left"/>
              <w:rPr>
                <w:rFonts w:ascii="方正书宋_GBK" w:eastAsia="方正书宋_GBK"/>
              </w:rPr>
            </w:pPr>
            <w:r>
              <w:rPr>
                <w:rFonts w:ascii="方正书宋_GBK" w:eastAsia="方正书宋_GBK"/>
              </w:rPr>
              <w:t>及时启动或解除，为政府决策提供科学参考，为公众出行和防御提供预报，受众人口满意度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987" w:type="dxa"/>
            <w:shd w:val="clear" w:color="auto" w:fill="auto"/>
            <w:vAlign w:val="center"/>
          </w:tcPr>
          <w:p>
            <w:pPr>
              <w:spacing w:line="300" w:lineRule="exact"/>
              <w:jc w:val="left"/>
              <w:rPr>
                <w:rFonts w:ascii="方正书宋_GBK" w:eastAsia="方正书宋_GBK"/>
              </w:rPr>
            </w:pPr>
            <w:r>
              <w:rPr>
                <w:rFonts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77" w:hRule="atLeast"/>
        </w:trPr>
        <w:tc>
          <w:tcPr>
            <w:tcW w:w="1843" w:type="dxa"/>
            <w:vMerge w:val="continue"/>
            <w:shd w:val="clear" w:color="auto" w:fill="auto"/>
            <w:vAlign w:val="center"/>
          </w:tcPr>
          <w:p>
            <w:pPr>
              <w:spacing w:line="300" w:lineRule="exact"/>
              <w:jc w:val="center"/>
              <w:rPr>
                <w:rFonts w:ascii="方正书宋_GBK" w:eastAsia="方正书宋_GBK"/>
              </w:rPr>
            </w:pPr>
          </w:p>
        </w:tc>
        <w:tc>
          <w:tcPr>
            <w:tcW w:w="1614" w:type="dxa"/>
            <w:shd w:val="clear" w:color="auto" w:fill="auto"/>
            <w:vAlign w:val="center"/>
          </w:tcPr>
          <w:p>
            <w:pPr>
              <w:spacing w:line="300" w:lineRule="exact"/>
              <w:jc w:val="left"/>
              <w:rPr>
                <w:rFonts w:ascii="方正书宋_GBK" w:eastAsia="方正书宋_GBK"/>
              </w:rPr>
            </w:pPr>
            <w:r>
              <w:rPr>
                <w:rFonts w:ascii="方正书宋_GBK" w:eastAsia="方正书宋_GBK"/>
              </w:rPr>
              <w:t>生态效益指标</w:t>
            </w:r>
          </w:p>
        </w:tc>
        <w:tc>
          <w:tcPr>
            <w:tcW w:w="2213" w:type="dxa"/>
            <w:shd w:val="clear" w:color="auto" w:fill="auto"/>
            <w:vAlign w:val="center"/>
          </w:tcPr>
          <w:p>
            <w:pPr>
              <w:spacing w:line="300" w:lineRule="exact"/>
              <w:jc w:val="left"/>
              <w:rPr>
                <w:rFonts w:ascii="方正书宋_GBK" w:eastAsia="方正书宋_GBK"/>
              </w:rPr>
            </w:pPr>
            <w:r>
              <w:rPr>
                <w:rFonts w:ascii="方正书宋_GBK" w:eastAsia="方正书宋_GBK"/>
              </w:rPr>
              <w:t>预报材料引用次数比率</w:t>
            </w:r>
          </w:p>
        </w:tc>
        <w:tc>
          <w:tcPr>
            <w:tcW w:w="4111" w:type="dxa"/>
            <w:shd w:val="clear" w:color="auto" w:fill="auto"/>
            <w:vAlign w:val="center"/>
          </w:tcPr>
          <w:p>
            <w:pPr>
              <w:spacing w:line="300" w:lineRule="exact"/>
              <w:jc w:val="left"/>
              <w:rPr>
                <w:rFonts w:ascii="方正书宋_GBK" w:eastAsia="方正书宋_GBK"/>
              </w:rPr>
            </w:pPr>
            <w:r>
              <w:rPr>
                <w:rFonts w:ascii="方正书宋_GBK" w:eastAsia="方正书宋_GBK"/>
              </w:rPr>
              <w:t>为大气污染治理提供科学依据，材料被政府或相关部门引用次数比率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w:t>
            </w:r>
          </w:p>
        </w:tc>
        <w:tc>
          <w:tcPr>
            <w:tcW w:w="1987" w:type="dxa"/>
            <w:shd w:val="clear" w:color="auto" w:fill="auto"/>
            <w:vAlign w:val="center"/>
          </w:tcPr>
          <w:p>
            <w:pPr>
              <w:spacing w:line="300" w:lineRule="exact"/>
              <w:jc w:val="left"/>
              <w:rPr>
                <w:rFonts w:ascii="方正书宋_GBK" w:eastAsia="方正书宋_GBK"/>
              </w:rPr>
            </w:pPr>
            <w:r>
              <w:rPr>
                <w:rFonts w:ascii="方正书宋_GBK" w:eastAsia="方正书宋_GBK"/>
              </w:rPr>
              <w:t>根据年底统计引用次数表确定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77" w:hRule="atLeast"/>
        </w:trPr>
        <w:tc>
          <w:tcPr>
            <w:tcW w:w="1843"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614"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213"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w:t>
            </w:r>
          </w:p>
        </w:tc>
        <w:tc>
          <w:tcPr>
            <w:tcW w:w="4111"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987" w:type="dxa"/>
            <w:shd w:val="clear" w:color="auto" w:fill="auto"/>
            <w:vAlign w:val="center"/>
          </w:tcPr>
          <w:p>
            <w:pPr>
              <w:spacing w:line="300" w:lineRule="exact"/>
              <w:jc w:val="left"/>
              <w:rPr>
                <w:rFonts w:ascii="方正书宋_GBK" w:eastAsia="方正书宋_GBK"/>
              </w:rPr>
            </w:pPr>
            <w:r>
              <w:rPr>
                <w:rFonts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2、防雷服务经费绩效目标表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1" w:name="_Toc29800274"/>
      <w:r>
        <w:rPr>
          <w:rFonts w:ascii="Times New Roman" w:hAnsi="Times New Roman" w:eastAsia="仿宋_GB2312" w:cs="Times New Roman"/>
          <w:sz w:val="28"/>
        </w:rPr>
        <w:instrText xml:space="preserve">2、防雷服务经费绩效目标表</w:instrText>
      </w:r>
      <w:bookmarkEnd w:id="1"/>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005" w:type="dxa"/>
        <w:tblInd w:w="76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7"/>
        <w:gridCol w:w="114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0" w:hRule="atLeast"/>
        </w:trPr>
        <w:tc>
          <w:tcPr>
            <w:tcW w:w="1567"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43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1、通过项目的开展实现落实“放管服”改革要求，保障防雷装置设计审核和竣工验收行政许可事项正常开展。</w:t>
            </w:r>
          </w:p>
          <w:p>
            <w:pPr>
              <w:spacing w:line="300" w:lineRule="exact"/>
              <w:jc w:val="left"/>
              <w:rPr>
                <w:rFonts w:ascii="方正书宋_GBK" w:eastAsia="方正书宋_GBK"/>
              </w:rPr>
            </w:pPr>
            <w:r>
              <w:rPr>
                <w:rFonts w:ascii="方正书宋_GBK" w:eastAsia="方正书宋_GBK"/>
              </w:rPr>
              <w:t>2、通过项目的开展为防雷装置设计审核和竣工验收行政许可事项委托中介机构进行技术服务，包括防雷装置图纸评价和竣工验收服务检测，实现2020年防雷装置设计审核和竣工验收行政许可事项正常开展。</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080" w:type="dxa"/>
        <w:tblInd w:w="73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5"/>
        <w:gridCol w:w="1776"/>
        <w:gridCol w:w="2977"/>
        <w:gridCol w:w="3260"/>
        <w:gridCol w:w="1276"/>
        <w:gridCol w:w="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8" w:hRule="atLeast"/>
          <w:tblHeader/>
        </w:trPr>
        <w:tc>
          <w:tcPr>
            <w:tcW w:w="1855"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776"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977"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260"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93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防雷装置图纸评价和竣工验收服务检测报告</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完成的防雷装置图纸评价和竣工验收服务检测报告数量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≥1个</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验收项目名单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continue"/>
            <w:shd w:val="clear" w:color="auto" w:fill="auto"/>
            <w:vAlign w:val="center"/>
          </w:tcPr>
          <w:p>
            <w:pPr>
              <w:spacing w:line="300" w:lineRule="exact"/>
              <w:jc w:val="center"/>
              <w:rPr>
                <w:rFonts w:ascii="方正书宋_GBK" w:eastAsia="方正书宋_GBK"/>
              </w:rPr>
            </w:pP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出具检测报告的及时率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出具防雷装置图纸和竣工验收检测报告的及时率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根据15日内报告出具情况统计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continue"/>
            <w:shd w:val="clear" w:color="auto" w:fill="auto"/>
            <w:vAlign w:val="center"/>
          </w:tcPr>
          <w:p>
            <w:pPr>
              <w:spacing w:line="300" w:lineRule="exact"/>
              <w:jc w:val="center"/>
              <w:rPr>
                <w:rFonts w:ascii="方正书宋_GBK" w:eastAsia="方正书宋_GBK"/>
              </w:rPr>
            </w:pP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成本指标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成本节约</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考察项目实施的成本节约情况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≤20万元</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continue"/>
            <w:shd w:val="clear" w:color="auto" w:fill="auto"/>
            <w:vAlign w:val="center"/>
          </w:tcPr>
          <w:p>
            <w:pPr>
              <w:spacing w:line="300" w:lineRule="exact"/>
              <w:jc w:val="center"/>
              <w:rPr>
                <w:rFonts w:ascii="方正书宋_GBK" w:eastAsia="方正书宋_GBK"/>
              </w:rPr>
            </w:pP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监测报告合格率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反应监测报告是否符合相关要求及标准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减少审批提供材料</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为新建工程建设项目减少审批提供材料</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≥2项</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新建工程建设项目公示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continue"/>
            <w:shd w:val="clear" w:color="auto" w:fill="auto"/>
            <w:vAlign w:val="center"/>
          </w:tcPr>
          <w:p>
            <w:pPr>
              <w:spacing w:line="300" w:lineRule="exact"/>
              <w:jc w:val="center"/>
              <w:rPr>
                <w:rFonts w:ascii="方正书宋_GBK" w:eastAsia="方正书宋_GBK"/>
              </w:rPr>
            </w:pP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审核管理机制健全性</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反映项目单位对第三方的审核管理机制是否健全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相关审核管理制度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vMerge w:val="continue"/>
            <w:shd w:val="clear" w:color="auto" w:fill="auto"/>
            <w:vAlign w:val="center"/>
          </w:tcPr>
          <w:p>
            <w:pPr>
              <w:spacing w:line="300" w:lineRule="exact"/>
              <w:jc w:val="center"/>
              <w:rPr>
                <w:rFonts w:ascii="方正书宋_GBK" w:eastAsia="方正书宋_GBK"/>
              </w:rPr>
            </w:pP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档案管理机制健全性</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反映档案制度管理机制是否健全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相关档案管理制度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5" w:hRule="atLeast"/>
        </w:trPr>
        <w:tc>
          <w:tcPr>
            <w:tcW w:w="1855"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776"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977" w:type="dxa"/>
            <w:shd w:val="clear" w:color="auto" w:fill="auto"/>
            <w:vAlign w:val="center"/>
          </w:tcPr>
          <w:p>
            <w:pPr>
              <w:spacing w:line="300" w:lineRule="exact"/>
              <w:jc w:val="left"/>
              <w:rPr>
                <w:rFonts w:ascii="方正书宋_GBK" w:eastAsia="方正书宋_GBK"/>
              </w:rPr>
            </w:pPr>
            <w:r>
              <w:rPr>
                <w:rFonts w:ascii="方正书宋_GBK" w:eastAsia="方正书宋_GBK"/>
              </w:rPr>
              <w:t>新建工程建设项目单位满意度</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考察新建工程建设项目单位满意度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936"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年度工作总结确定数</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3、廊坊市气候可行性论证区域评估服务资金绩效目标表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2" w:name="_Toc29800275"/>
      <w:r>
        <w:rPr>
          <w:rFonts w:ascii="Times New Roman" w:hAnsi="Times New Roman" w:eastAsia="仿宋_GB2312" w:cs="Times New Roman"/>
          <w:sz w:val="28"/>
        </w:rPr>
        <w:instrText xml:space="preserve">3、廊坊市气候可行性论证区域评估服务资金绩效目标表</w:instrText>
      </w:r>
      <w:bookmarkEnd w:id="2"/>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6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1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09"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843"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1、通过项目的开展实现气候可行性评估事项不再作为项目审批或核准的前置条件，审批流程优化，构建科学、便捷、高效的工程建设项目审批体系，更好更快方便群众和企业办事。</w:t>
            </w:r>
          </w:p>
          <w:p>
            <w:pPr>
              <w:spacing w:line="300" w:lineRule="exact"/>
              <w:jc w:val="left"/>
              <w:rPr>
                <w:rFonts w:ascii="方正书宋_GBK" w:eastAsia="方正书宋_GBK"/>
              </w:rPr>
            </w:pPr>
            <w:r>
              <w:rPr>
                <w:rFonts w:ascii="方正书宋_GBK" w:eastAsia="方正书宋_GBK"/>
              </w:rPr>
              <w:t>2、通过项目的开展，完成廊坊市城区（广阳、安次、开发区）全覆盖、全要素气候可行性区域评估，实现气候可行性评估事项不再作为项目审批或核准的前置条件和工程建设项目依据区域评估开展设计的目标，为新建工程建设项目减少审批环节，节约评估资金。</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6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9"/>
        <w:gridCol w:w="1369"/>
        <w:gridCol w:w="2263"/>
        <w:gridCol w:w="4110"/>
        <w:gridCol w:w="1560"/>
        <w:gridCol w:w="2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8" w:hRule="atLeast"/>
          <w:tblHeader/>
          <w:jc w:val="center"/>
        </w:trPr>
        <w:tc>
          <w:tcPr>
            <w:tcW w:w="1859"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369"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263"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4110"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560"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2484"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评估报告</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发布的评估报告</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1个</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报告公布名单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vMerge w:val="continue"/>
            <w:shd w:val="clear" w:color="auto" w:fill="auto"/>
            <w:vAlign w:val="center"/>
          </w:tcPr>
          <w:p>
            <w:pPr>
              <w:spacing w:line="300" w:lineRule="exact"/>
              <w:jc w:val="center"/>
              <w:rPr>
                <w:rFonts w:ascii="方正书宋_GBK" w:eastAsia="方正书宋_GBK"/>
              </w:rPr>
            </w:pP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评估报告完成及时性</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考察评估报告完成及时情况</w:t>
            </w:r>
            <w:r>
              <w:rPr>
                <w:rFonts w:ascii="方正书宋_GBK" w:eastAsia="方正书宋_GBK"/>
              </w:rPr>
              <w:tab/>
            </w:r>
          </w:p>
          <w:p>
            <w:pPr>
              <w:spacing w:line="300" w:lineRule="exact"/>
              <w:jc w:val="left"/>
              <w:rPr>
                <w:rFonts w:ascii="方正书宋_GBK" w:eastAsia="方正书宋_GBK"/>
              </w:rPr>
            </w:pP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≤6月底</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vMerge w:val="continue"/>
            <w:shd w:val="clear" w:color="auto" w:fill="auto"/>
            <w:vAlign w:val="center"/>
          </w:tcPr>
          <w:p>
            <w:pPr>
              <w:spacing w:line="300" w:lineRule="exact"/>
              <w:jc w:val="center"/>
              <w:rPr>
                <w:rFonts w:ascii="方正书宋_GBK" w:eastAsia="方正书宋_GBK"/>
              </w:rPr>
            </w:pP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评估报告验收合格性</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反映评估报告是否符合相关要求及标准</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0合格</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vMerge w:val="continue"/>
            <w:shd w:val="clear" w:color="auto" w:fill="auto"/>
            <w:vAlign w:val="center"/>
          </w:tcPr>
          <w:p>
            <w:pPr>
              <w:spacing w:line="300" w:lineRule="exact"/>
              <w:jc w:val="center"/>
              <w:rPr>
                <w:rFonts w:ascii="方正书宋_GBK" w:eastAsia="方正书宋_GBK"/>
              </w:rPr>
            </w:pP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成本指标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成本节约</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考察成本节约情况</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≤30万元</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优化审批流程</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为新建工程建设项目减少审批环节</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1个</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新建工程建设项目公示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vMerge w:val="continue"/>
            <w:shd w:val="clear" w:color="auto" w:fill="auto"/>
            <w:vAlign w:val="center"/>
          </w:tcPr>
          <w:p>
            <w:pPr>
              <w:spacing w:line="300" w:lineRule="exact"/>
              <w:jc w:val="center"/>
              <w:rPr>
                <w:rFonts w:ascii="方正书宋_GBK" w:eastAsia="方正书宋_GBK"/>
              </w:rPr>
            </w:pP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档案管理机制健全性</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反映项目单位对人员及第三方档案管理的制度是否健全</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相关档案管理制度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70" w:hRule="atLeast"/>
          <w:jc w:val="center"/>
        </w:trPr>
        <w:tc>
          <w:tcPr>
            <w:tcW w:w="1859"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369"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263" w:type="dxa"/>
            <w:shd w:val="clear" w:color="auto" w:fill="auto"/>
            <w:vAlign w:val="center"/>
          </w:tcPr>
          <w:p>
            <w:pPr>
              <w:spacing w:line="300" w:lineRule="exact"/>
              <w:jc w:val="left"/>
              <w:rPr>
                <w:rFonts w:ascii="方正书宋_GBK" w:eastAsia="方正书宋_GBK"/>
              </w:rPr>
            </w:pPr>
            <w:r>
              <w:rPr>
                <w:rFonts w:ascii="方正书宋_GBK" w:eastAsia="方正书宋_GBK"/>
              </w:rPr>
              <w:t>新建工程建设项目单位满意度</w:t>
            </w:r>
          </w:p>
        </w:tc>
        <w:tc>
          <w:tcPr>
            <w:tcW w:w="4110" w:type="dxa"/>
            <w:shd w:val="clear" w:color="auto" w:fill="auto"/>
            <w:vAlign w:val="center"/>
          </w:tcPr>
          <w:p>
            <w:pPr>
              <w:spacing w:line="300" w:lineRule="exact"/>
              <w:jc w:val="left"/>
              <w:rPr>
                <w:rFonts w:ascii="方正书宋_GBK" w:eastAsia="方正书宋_GBK"/>
              </w:rPr>
            </w:pPr>
            <w:r>
              <w:rPr>
                <w:rFonts w:ascii="方正书宋_GBK" w:eastAsia="方正书宋_GBK"/>
              </w:rPr>
              <w:t>新建工程建设项目单位满意度</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2484" w:type="dxa"/>
            <w:shd w:val="clear" w:color="auto" w:fill="auto"/>
            <w:vAlign w:val="center"/>
          </w:tcPr>
          <w:p>
            <w:pPr>
              <w:spacing w:line="300" w:lineRule="exact"/>
              <w:jc w:val="left"/>
              <w:rPr>
                <w:rFonts w:ascii="方正书宋_GBK" w:eastAsia="方正书宋_GBK"/>
              </w:rPr>
            </w:pPr>
            <w:r>
              <w:rPr>
                <w:rFonts w:ascii="方正书宋_GBK" w:eastAsia="方正书宋_GBK"/>
              </w:rPr>
              <w:t>问卷调查</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4、廊坊市气象通讯网络信息安全升级项目资金绩效目标表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3" w:name="_Toc29800276"/>
      <w:r>
        <w:rPr>
          <w:rFonts w:ascii="Times New Roman" w:hAnsi="Times New Roman" w:eastAsia="仿宋_GB2312" w:cs="Times New Roman"/>
          <w:sz w:val="28"/>
        </w:rPr>
        <w:instrText xml:space="preserve">4、廊坊市气象通讯网络信息安全升级项目资金绩效目标表</w:instrText>
      </w:r>
      <w:bookmarkEnd w:id="3"/>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6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0"/>
        <w:gridCol w:w="118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0"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844"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1、通过项目的开展实现提高气象部门信息化程度和气象服务能力，保障气象现代化重点项目建设的实现。</w:t>
            </w:r>
          </w:p>
          <w:p>
            <w:pPr>
              <w:spacing w:line="300" w:lineRule="exact"/>
              <w:jc w:val="left"/>
              <w:rPr>
                <w:rFonts w:ascii="方正书宋_GBK" w:eastAsia="方正书宋_GBK"/>
              </w:rPr>
            </w:pPr>
            <w:r>
              <w:rPr>
                <w:rFonts w:ascii="方正书宋_GBK" w:eastAsia="方正书宋_GBK"/>
              </w:rPr>
              <w:t>2、通过项目的开展,完成网络信息安全平台建设、预警系统升级，实现气象预报预警服务高效运行和保障网络安全稳定。</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6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1457"/>
        <w:gridCol w:w="2482"/>
        <w:gridCol w:w="4678"/>
        <w:gridCol w:w="1417"/>
        <w:gridCol w:w="23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tblHeader/>
          <w:jc w:val="center"/>
        </w:trPr>
        <w:tc>
          <w:tcPr>
            <w:tcW w:w="1280"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457"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482"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4678"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417"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2354"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完成网络信息安全平台建设</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建成网络信息安全平台（安全感知平台）</w:t>
            </w:r>
          </w:p>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1个</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完成预警系统升级</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升级预警系统平台</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1个</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网络传输速率达标</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网络传输速率达标</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≥100兆/秒</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升级设备质量达标率</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考察采购升级所需设备质量达标情况</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系统平台升级及时性</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考察系统平台升级是否按工作计划及时完成</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≤9月底前</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升级设备采购及时性</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考察升级设备采购是否按工作计划及时完成</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≤9月底前</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成本指标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成本节约</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考察成本节约情况</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≤290万元</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网络安全保障</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考察建设后网络攻击拦截情况</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≥95%</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vMerge w:val="continue"/>
            <w:shd w:val="clear" w:color="auto" w:fill="auto"/>
            <w:vAlign w:val="center"/>
          </w:tcPr>
          <w:p>
            <w:pPr>
              <w:spacing w:line="300" w:lineRule="exact"/>
              <w:jc w:val="center"/>
              <w:rPr>
                <w:rFonts w:ascii="方正书宋_GBK" w:eastAsia="方正书宋_GBK"/>
              </w:rPr>
            </w:pP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系统维护机制健全性</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考察网络系统维护、后续保障的机制是否健全</w:t>
            </w: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相关系统维护管理制度、项目工作计划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5" w:hRule="atLeast"/>
          <w:jc w:val="center"/>
        </w:trPr>
        <w:tc>
          <w:tcPr>
            <w:tcW w:w="1280"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457"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482" w:type="dxa"/>
            <w:shd w:val="clear" w:color="auto" w:fill="auto"/>
            <w:vAlign w:val="center"/>
          </w:tcPr>
          <w:p>
            <w:pPr>
              <w:spacing w:line="300" w:lineRule="exact"/>
              <w:jc w:val="left"/>
              <w:rPr>
                <w:rFonts w:ascii="方正书宋_GBK" w:eastAsia="方正书宋_GBK"/>
              </w:rPr>
            </w:pPr>
            <w:r>
              <w:rPr>
                <w:rFonts w:ascii="方正书宋_GBK" w:eastAsia="方正书宋_GBK"/>
              </w:rPr>
              <w:t>局职工满意度</w:t>
            </w:r>
          </w:p>
        </w:tc>
        <w:tc>
          <w:tcPr>
            <w:tcW w:w="4678" w:type="dxa"/>
            <w:shd w:val="clear" w:color="auto" w:fill="auto"/>
            <w:vAlign w:val="center"/>
          </w:tcPr>
          <w:p>
            <w:pPr>
              <w:spacing w:line="300" w:lineRule="exact"/>
              <w:jc w:val="left"/>
              <w:rPr>
                <w:rFonts w:ascii="方正书宋_GBK" w:eastAsia="方正书宋_GBK"/>
              </w:rPr>
            </w:pPr>
            <w:r>
              <w:rPr>
                <w:rFonts w:ascii="方正书宋_GBK" w:eastAsia="方正书宋_GBK"/>
              </w:rPr>
              <w:t>考察局职工对网络</w:t>
            </w:r>
          </w:p>
          <w:p>
            <w:pPr>
              <w:spacing w:line="300" w:lineRule="exact"/>
              <w:jc w:val="left"/>
              <w:rPr>
                <w:rFonts w:ascii="方正书宋_GBK" w:eastAsia="方正书宋_GBK"/>
              </w:rPr>
            </w:pPr>
            <w:r>
              <w:rPr>
                <w:rFonts w:ascii="方正书宋_GBK" w:eastAsia="方正书宋_GBK"/>
              </w:rPr>
              <w:t>升级改造的满意度</w:t>
            </w:r>
          </w:p>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2354" w:type="dxa"/>
            <w:shd w:val="clear" w:color="auto" w:fill="auto"/>
            <w:vAlign w:val="center"/>
          </w:tcPr>
          <w:p>
            <w:pPr>
              <w:spacing w:line="300" w:lineRule="exact"/>
              <w:jc w:val="left"/>
              <w:rPr>
                <w:rFonts w:ascii="方正书宋_GBK" w:eastAsia="方正书宋_GBK"/>
              </w:rPr>
            </w:pPr>
            <w:r>
              <w:rPr>
                <w:rFonts w:ascii="方正书宋_GBK" w:eastAsia="方正书宋_GBK"/>
              </w:rPr>
              <w:t>项目工作计划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5、廊坊市气象预警信息指挥平台升级项目资金绩效目标表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4" w:name="_Toc29800277"/>
      <w:r>
        <w:rPr>
          <w:rFonts w:ascii="Times New Roman" w:hAnsi="Times New Roman" w:eastAsia="仿宋_GB2312" w:cs="Times New Roman"/>
          <w:sz w:val="28"/>
        </w:rPr>
        <w:instrText xml:space="preserve">5、廊坊市气象预警信息指挥平台升级项目资金绩效目标表</w:instrText>
      </w:r>
      <w:bookmarkEnd w:id="4"/>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3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9"/>
        <w:gridCol w:w="115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19"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569"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1、通过项目的开展实现提高气象部门信息化程度和气象服务能力，保障气象现代化重点项目建设的实现。</w:t>
            </w:r>
          </w:p>
          <w:p>
            <w:pPr>
              <w:spacing w:line="300" w:lineRule="exact"/>
              <w:jc w:val="left"/>
              <w:rPr>
                <w:rFonts w:ascii="方正书宋_GBK" w:eastAsia="方正书宋_GBK"/>
              </w:rPr>
            </w:pPr>
            <w:r>
              <w:rPr>
                <w:rFonts w:ascii="方正书宋_GBK" w:eastAsia="方正书宋_GBK"/>
              </w:rPr>
              <w:t>2、通过项目的开展完成预警系统升级，实现气象预报预警服务高效运行。</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3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8"/>
        <w:gridCol w:w="1701"/>
        <w:gridCol w:w="2410"/>
        <w:gridCol w:w="3827"/>
        <w:gridCol w:w="1701"/>
        <w:gridCol w:w="1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18"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410"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827"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930"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完成预警系统升级</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升级预警系统平台</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1个</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升级设备质量达标率</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考察采购升级所需设备质量达标情况</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系统平台升级及时性</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考察系统平台升级是否按工作计划及时完成</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≤9月底前</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成本指标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成本节约</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考察成本节约情况</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≤144.6万元</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升级设备采购及时率</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考察升级设备采购是否按工作计划及时完成</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≤9月底前</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气象预警提前量</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考察相较于建设前气象预警发布时间提前量提升情况</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≥10%</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系统维护机制健全性</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考察网络系统维护、后续保障的机制是否健全</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相关系统维护管理制度、项目实施方案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18"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410" w:type="dxa"/>
            <w:shd w:val="clear" w:color="auto" w:fill="auto"/>
            <w:vAlign w:val="center"/>
          </w:tcPr>
          <w:p>
            <w:pPr>
              <w:spacing w:line="300" w:lineRule="exact"/>
              <w:jc w:val="left"/>
              <w:rPr>
                <w:rFonts w:ascii="方正书宋_GBK" w:eastAsia="方正书宋_GBK"/>
              </w:rPr>
            </w:pPr>
            <w:r>
              <w:rPr>
                <w:rFonts w:ascii="方正书宋_GBK" w:eastAsia="方正书宋_GBK"/>
              </w:rPr>
              <w:t>公众满意度</w:t>
            </w:r>
          </w:p>
        </w:tc>
        <w:tc>
          <w:tcPr>
            <w:tcW w:w="3827" w:type="dxa"/>
            <w:shd w:val="clear" w:color="auto" w:fill="auto"/>
            <w:vAlign w:val="center"/>
          </w:tcPr>
          <w:p>
            <w:pPr>
              <w:spacing w:line="300" w:lineRule="exact"/>
              <w:jc w:val="left"/>
              <w:rPr>
                <w:rFonts w:ascii="方正书宋_GBK" w:eastAsia="方正书宋_GBK"/>
              </w:rPr>
            </w:pPr>
            <w:r>
              <w:rPr>
                <w:rFonts w:ascii="方正书宋_GBK" w:eastAsia="方正书宋_GBK"/>
              </w:rPr>
              <w:t>调查社会公众对气象服务的满意度</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930" w:type="dxa"/>
            <w:shd w:val="clear" w:color="auto" w:fill="auto"/>
            <w:vAlign w:val="center"/>
          </w:tcPr>
          <w:p>
            <w:pPr>
              <w:spacing w:line="300" w:lineRule="exact"/>
              <w:jc w:val="left"/>
              <w:rPr>
                <w:rFonts w:ascii="方正书宋_GBK" w:eastAsia="方正书宋_GBK"/>
              </w:rPr>
            </w:pPr>
            <w:r>
              <w:rPr>
                <w:rFonts w:ascii="方正书宋_GBK" w:eastAsia="方正书宋_GBK"/>
              </w:rPr>
              <w:t>项目实施方案</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6、廊坊市生态环境气象遥感监测综合应用项目资金绩效目标表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5" w:name="_Toc29800278"/>
      <w:r>
        <w:rPr>
          <w:rFonts w:ascii="Times New Roman" w:hAnsi="Times New Roman" w:eastAsia="仿宋_GB2312" w:cs="Times New Roman"/>
          <w:sz w:val="28"/>
        </w:rPr>
        <w:instrText xml:space="preserve">6、廊坊市生态环境气象遥感监测综合应用项目资金绩效目标表</w:instrText>
      </w:r>
      <w:bookmarkEnd w:id="5"/>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5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9"/>
        <w:gridCol w:w="11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9"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784"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项目的开展实现生态环境遥感监测评估，实施水体变化监测、绿色植被变化监测、城市热岛监测等，总目标为我市生态文明建设提供气象保障，具体目标为市委市政府及环保局等相关单位对生态环境决策提供气象保障。</w:t>
            </w:r>
          </w:p>
          <w:p>
            <w:pPr>
              <w:spacing w:line="300" w:lineRule="exact"/>
              <w:jc w:val="left"/>
              <w:rPr>
                <w:rFonts w:ascii="方正书宋_GBK" w:eastAsia="方正书宋_GBK"/>
              </w:rPr>
            </w:pPr>
            <w:r>
              <w:rPr>
                <w:rFonts w:ascii="方正书宋_GBK" w:eastAsia="方正书宋_GBK"/>
              </w:rPr>
              <w:t>2、通过项目建设完成1套廊坊市生态环境气象遥感监测评估平台和空气指数站、气象站等1套，并且能有软硬件正常运行。</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5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2"/>
        <w:gridCol w:w="1701"/>
        <w:gridCol w:w="3260"/>
        <w:gridCol w:w="3858"/>
        <w:gridCol w:w="962"/>
        <w:gridCol w:w="20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62"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3260"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858"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962"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2015"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完成地面硬件建设</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完成对地面的气象、辐射、负氧、能见度监测</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1套</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硬件设备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完成我市生态环境气象遥感监测平台</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建成我市生态环境气象遥感监测平台</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1套</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软件平台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数据日上传率</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数据实际接收日数/应接收日数</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≥95%</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统计数据接收情况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硬件设备建设及时性</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空气指数站等设备是否按合同及时完成</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1及时</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实施方案，合同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气象遥感平台及时性</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遥感平台是否按合同及时完成</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1及时</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实施方案，合同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遥感监测评价气象服务</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遥感监测评价气象服务</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≥5年</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开展遥感监测评价服务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生态效益指标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雾霾治理、“森林城市”建设的气象服务</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为雾霾治理，“森林城市”建设提供科学的气象依据</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≥3项</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为市委市政府提供气象评价决策材料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62"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3260" w:type="dxa"/>
            <w:shd w:val="clear" w:color="auto" w:fill="auto"/>
            <w:vAlign w:val="center"/>
          </w:tcPr>
          <w:p>
            <w:pPr>
              <w:spacing w:line="300" w:lineRule="exact"/>
              <w:jc w:val="left"/>
              <w:rPr>
                <w:rFonts w:ascii="方正书宋_GBK" w:eastAsia="方正书宋_GBK"/>
              </w:rPr>
            </w:pPr>
            <w:r>
              <w:rPr>
                <w:rFonts w:ascii="方正书宋_GBK" w:eastAsia="方正书宋_GBK"/>
              </w:rPr>
              <w:t>气象服务中心人员满意度</w:t>
            </w:r>
          </w:p>
        </w:tc>
        <w:tc>
          <w:tcPr>
            <w:tcW w:w="3858" w:type="dxa"/>
            <w:shd w:val="clear" w:color="auto" w:fill="auto"/>
            <w:vAlign w:val="center"/>
          </w:tcPr>
          <w:p>
            <w:pPr>
              <w:spacing w:line="300" w:lineRule="exact"/>
              <w:jc w:val="left"/>
              <w:rPr>
                <w:rFonts w:ascii="方正书宋_GBK" w:eastAsia="方正书宋_GBK"/>
              </w:rPr>
            </w:pPr>
            <w:r>
              <w:rPr>
                <w:rFonts w:ascii="方正书宋_GBK" w:eastAsia="方正书宋_GBK"/>
              </w:rPr>
              <w:t>气象服务中心人员满意度</w:t>
            </w:r>
          </w:p>
        </w:tc>
        <w:tc>
          <w:tcPr>
            <w:tcW w:w="962"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2015" w:type="dxa"/>
            <w:shd w:val="clear" w:color="auto" w:fill="auto"/>
            <w:vAlign w:val="center"/>
          </w:tcPr>
          <w:p>
            <w:pPr>
              <w:spacing w:line="300" w:lineRule="exact"/>
              <w:jc w:val="left"/>
              <w:rPr>
                <w:rFonts w:ascii="方正书宋_GBK" w:eastAsia="方正书宋_GBK"/>
              </w:rPr>
            </w:pPr>
            <w:r>
              <w:rPr>
                <w:rFonts w:ascii="方正书宋_GBK" w:eastAsia="方正书宋_GBK"/>
              </w:rPr>
              <w:t>调查问卷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7、媒体公共气象信息服务维持经费绩效目标表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6" w:name="_Toc29800279"/>
      <w:r>
        <w:rPr>
          <w:rFonts w:ascii="Times New Roman" w:hAnsi="Times New Roman" w:eastAsia="仿宋_GB2312" w:cs="Times New Roman"/>
          <w:sz w:val="28"/>
        </w:rPr>
        <w:instrText xml:space="preserve">7、媒体公共气象信息服务维持经费绩效目标表</w:instrText>
      </w:r>
      <w:bookmarkEnd w:id="6"/>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5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44"/>
        <w:gridCol w:w="11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4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7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1、通过项目的开展实现对公众进行天气预报、天气预警的发布以及气象知识的普及，达到气象防灾减灾的目的</w:t>
            </w:r>
          </w:p>
          <w:p>
            <w:pPr>
              <w:spacing w:line="300" w:lineRule="exact"/>
              <w:jc w:val="left"/>
              <w:rPr>
                <w:rFonts w:ascii="方正书宋_GBK" w:eastAsia="方正书宋_GBK"/>
              </w:rPr>
            </w:pPr>
            <w:r>
              <w:rPr>
                <w:rFonts w:ascii="方正书宋_GBK" w:eastAsia="方正书宋_GBK"/>
              </w:rPr>
              <w:t>2、通过项目的实施，完成项目所需专用耗材、办公用品的购置，以及委托制作发布天气预报、服务信息等工作，实现用户通过各种渠道了解天气预报信息在80%以上，廊坊电视台天气预报、“廊坊气象”微信公众号和微博对我市天气预报、气象预警和气象知识发布天数至少在360天以上，可持续影响上即对天气信息的共享机制保证健全。</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51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9"/>
        <w:gridCol w:w="1701"/>
        <w:gridCol w:w="2552"/>
        <w:gridCol w:w="3532"/>
        <w:gridCol w:w="1276"/>
        <w:gridCol w:w="27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39"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552"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532"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2713"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办公耗材购置完成率</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反映项目专用耗材、办公用品购置完成情况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信息服务委托工作完成率</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反映信息服务委托工作的完成情况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天气预报发布质量达标率</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反映天气预报发布质量是否达标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天气预报发布及时率</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反映天气预报发布及时情况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成本指标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成本节约</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反映项目实施成本节约情况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≤40万元</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传播率</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通过各种渠道公众了解天气预报信息的情况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天气预报发布天数</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反映廊坊电视台天气预报、“廊坊气象”微信公众号和微博对我市天气预报、气象预警和气象知识发布天数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≥360天</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根据天气预报实际播出情况测算</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vMerge w:val="continue"/>
            <w:shd w:val="clear" w:color="auto" w:fill="auto"/>
            <w:vAlign w:val="center"/>
          </w:tcPr>
          <w:p>
            <w:pPr>
              <w:spacing w:line="300" w:lineRule="exact"/>
              <w:jc w:val="center"/>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信息共享机制健全性</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反映天气信息共享机制是否健全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相关信息共享管理制度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39"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552" w:type="dxa"/>
            <w:shd w:val="clear" w:color="auto" w:fill="auto"/>
            <w:vAlign w:val="center"/>
          </w:tcPr>
          <w:p>
            <w:pPr>
              <w:spacing w:line="300" w:lineRule="exact"/>
              <w:jc w:val="left"/>
              <w:rPr>
                <w:rFonts w:ascii="方正书宋_GBK" w:eastAsia="方正书宋_GBK"/>
              </w:rPr>
            </w:pPr>
            <w:r>
              <w:rPr>
                <w:rFonts w:ascii="方正书宋_GBK" w:eastAsia="方正书宋_GBK"/>
              </w:rPr>
              <w:t>群众满意率</w:t>
            </w:r>
          </w:p>
        </w:tc>
        <w:tc>
          <w:tcPr>
            <w:tcW w:w="3532" w:type="dxa"/>
            <w:shd w:val="clear" w:color="auto" w:fill="auto"/>
            <w:vAlign w:val="center"/>
          </w:tcPr>
          <w:p>
            <w:pPr>
              <w:spacing w:line="300" w:lineRule="exact"/>
              <w:jc w:val="left"/>
              <w:rPr>
                <w:rFonts w:ascii="方正书宋_GBK" w:eastAsia="方正书宋_GBK"/>
              </w:rPr>
            </w:pPr>
            <w:r>
              <w:rPr>
                <w:rFonts w:ascii="方正书宋_GBK" w:eastAsia="方正书宋_GBK"/>
              </w:rPr>
              <w:t>反映公众对天气发布媒介及形式的满意度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2713"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8、气象防御指挥部运行维持经费绩效目标表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7" w:name="_Toc29800280"/>
      <w:r>
        <w:rPr>
          <w:rFonts w:ascii="Times New Roman" w:hAnsi="Times New Roman" w:eastAsia="仿宋_GB2312" w:cs="Times New Roman"/>
          <w:sz w:val="28"/>
        </w:rPr>
        <w:instrText xml:space="preserve">8、气象防御指挥部运行维持经费绩效目标表</w:instrText>
      </w:r>
      <w:bookmarkEnd w:id="7"/>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4"/>
        <w:gridCol w:w="113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04"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389"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1、实施该项目后，在发生气象灾害和重污染天气时发挥好联动协调职能</w:t>
            </w:r>
          </w:p>
          <w:p>
            <w:pPr>
              <w:spacing w:line="300" w:lineRule="exact"/>
              <w:jc w:val="left"/>
              <w:rPr>
                <w:rFonts w:ascii="方正书宋_GBK" w:eastAsia="方正书宋_GBK"/>
              </w:rPr>
            </w:pPr>
            <w:r>
              <w:rPr>
                <w:rFonts w:ascii="方正书宋_GBK" w:eastAsia="方正书宋_GBK"/>
              </w:rPr>
              <w:t>2、实施该项目后，气象防御指挥部所有设施及应急指挥车能够正常运行，保证提供可靠决策支撑。</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5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1"/>
        <w:gridCol w:w="2268"/>
        <w:gridCol w:w="2268"/>
        <w:gridCol w:w="3872"/>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01"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2268"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268"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872"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1"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预报会商时长</w:t>
            </w:r>
          </w:p>
        </w:tc>
        <w:tc>
          <w:tcPr>
            <w:tcW w:w="3872" w:type="dxa"/>
            <w:shd w:val="clear" w:color="auto" w:fill="auto"/>
            <w:vAlign w:val="center"/>
          </w:tcPr>
          <w:p>
            <w:pPr>
              <w:spacing w:line="300" w:lineRule="exact"/>
              <w:jc w:val="left"/>
              <w:rPr>
                <w:rFonts w:ascii="方正书宋_GBK" w:eastAsia="方正书宋_GBK"/>
              </w:rPr>
            </w:pPr>
            <w:r>
              <w:rPr>
                <w:rFonts w:ascii="方正书宋_GBK" w:eastAsia="方正书宋_GBK"/>
              </w:rPr>
              <w:t>天气预报全年不分节假日每天至少会商2小时</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≥2小时</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1"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信息传输及时率</w:t>
            </w:r>
          </w:p>
        </w:tc>
        <w:tc>
          <w:tcPr>
            <w:tcW w:w="3872" w:type="dxa"/>
            <w:shd w:val="clear" w:color="auto" w:fill="auto"/>
            <w:vAlign w:val="center"/>
          </w:tcPr>
          <w:p>
            <w:pPr>
              <w:spacing w:line="300" w:lineRule="exact"/>
              <w:jc w:val="left"/>
              <w:rPr>
                <w:rFonts w:ascii="方正书宋_GBK" w:eastAsia="方正书宋_GBK"/>
              </w:rPr>
            </w:pPr>
            <w:r>
              <w:rPr>
                <w:rFonts w:ascii="方正书宋_GBK" w:eastAsia="方正书宋_GBK"/>
              </w:rPr>
              <w:t>地面气象数据、农业气象数据传输及时率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1" w:type="dxa"/>
            <w:vMerge w:val="continue"/>
            <w:shd w:val="clear" w:color="auto" w:fill="auto"/>
            <w:vAlign w:val="center"/>
          </w:tcPr>
          <w:p>
            <w:pPr>
              <w:spacing w:line="300" w:lineRule="exact"/>
              <w:jc w:val="center"/>
              <w:rPr>
                <w:rFonts w:ascii="方正书宋_GBK" w:eastAsia="方正书宋_GBK"/>
              </w:rPr>
            </w:pP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应急车保障率</w:t>
            </w:r>
          </w:p>
        </w:tc>
        <w:tc>
          <w:tcPr>
            <w:tcW w:w="3872" w:type="dxa"/>
            <w:shd w:val="clear" w:color="auto" w:fill="auto"/>
            <w:vAlign w:val="center"/>
          </w:tcPr>
          <w:p>
            <w:pPr>
              <w:spacing w:line="300" w:lineRule="exact"/>
              <w:jc w:val="left"/>
              <w:rPr>
                <w:rFonts w:ascii="方正书宋_GBK" w:eastAsia="方正书宋_GBK"/>
              </w:rPr>
            </w:pPr>
            <w:r>
              <w:rPr>
                <w:rFonts w:ascii="方正书宋_GBK" w:eastAsia="方正书宋_GBK"/>
              </w:rPr>
              <w:t>参加省市组织的应急演练以及重大天气过程的服务保障率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1" w:type="dxa"/>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预警信息宣传率</w:t>
            </w:r>
          </w:p>
        </w:tc>
        <w:tc>
          <w:tcPr>
            <w:tcW w:w="3872" w:type="dxa"/>
            <w:shd w:val="clear" w:color="auto" w:fill="auto"/>
            <w:vAlign w:val="center"/>
          </w:tcPr>
          <w:p>
            <w:pPr>
              <w:spacing w:line="300" w:lineRule="exact"/>
              <w:jc w:val="left"/>
              <w:rPr>
                <w:rFonts w:ascii="方正书宋_GBK" w:eastAsia="方正书宋_GBK"/>
              </w:rPr>
            </w:pPr>
            <w:r>
              <w:rPr>
                <w:rFonts w:ascii="方正书宋_GBK" w:eastAsia="方正书宋_GBK"/>
              </w:rPr>
              <w:t>灾害预警信息在本市的宣传率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01"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268" w:type="dxa"/>
            <w:shd w:val="clear" w:color="auto" w:fill="auto"/>
            <w:vAlign w:val="center"/>
          </w:tcPr>
          <w:p>
            <w:pPr>
              <w:spacing w:line="300" w:lineRule="exact"/>
              <w:jc w:val="left"/>
              <w:rPr>
                <w:rFonts w:ascii="方正书宋_GBK" w:eastAsia="方正书宋_GBK"/>
              </w:rPr>
            </w:pPr>
            <w:r>
              <w:rPr>
                <w:rFonts w:ascii="方正书宋_GBK" w:eastAsia="方正书宋_GBK"/>
              </w:rPr>
              <w:t>公共服务的满意度</w:t>
            </w:r>
          </w:p>
        </w:tc>
        <w:tc>
          <w:tcPr>
            <w:tcW w:w="3872" w:type="dxa"/>
            <w:shd w:val="clear" w:color="auto" w:fill="auto"/>
            <w:vAlign w:val="center"/>
          </w:tcPr>
          <w:p>
            <w:pPr>
              <w:spacing w:line="300" w:lineRule="exact"/>
              <w:jc w:val="left"/>
              <w:rPr>
                <w:rFonts w:ascii="方正书宋_GBK" w:eastAsia="方正书宋_GBK"/>
              </w:rPr>
            </w:pPr>
            <w:r>
              <w:rPr>
                <w:rFonts w:ascii="方正书宋_GBK" w:eastAsia="方正书宋_GBK"/>
              </w:rPr>
              <w:t>根据气象服务公共满意度调查得出的满意度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9、气象设施运行维护费绩效目标表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8" w:name="_Toc29800281"/>
      <w:r>
        <w:rPr>
          <w:rFonts w:ascii="Times New Roman" w:hAnsi="Times New Roman" w:eastAsia="仿宋_GB2312" w:cs="Times New Roman"/>
          <w:sz w:val="28"/>
        </w:rPr>
        <w:instrText xml:space="preserve">9、气象设施运行维护费绩效目标表</w:instrText>
      </w:r>
      <w:bookmarkEnd w:id="8"/>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45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3"/>
        <w:gridCol w:w="113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33"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31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该项目,使得廊坊地区地面气象观测、农业气象观测和非常规（特种、加密）气象观测业务和农业气象观测业务能够正常高效开展,太阳辐射（紫外线等）观测、酸雨观测、固态降水观测、农田小气候观测、大气电场监测等</w:t>
            </w:r>
          </w:p>
          <w:p>
            <w:pPr>
              <w:spacing w:line="300" w:lineRule="exact"/>
              <w:jc w:val="left"/>
              <w:rPr>
                <w:rFonts w:ascii="方正书宋_GBK" w:eastAsia="方正书宋_GBK"/>
              </w:rPr>
            </w:pPr>
            <w:r>
              <w:rPr>
                <w:rFonts w:ascii="方正书宋_GBK" w:eastAsia="方正书宋_GBK"/>
              </w:rPr>
              <w:t>2、通过实施该项目确保能够提供观测数据完整可靠，为气象预报预警服务和大气污染防治工作顺利进行</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34"/>
        <w:gridCol w:w="2127"/>
        <w:gridCol w:w="2409"/>
        <w:gridCol w:w="3806"/>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2127"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409"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806"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4"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2127"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409" w:type="dxa"/>
            <w:shd w:val="clear" w:color="auto" w:fill="auto"/>
            <w:vAlign w:val="center"/>
          </w:tcPr>
          <w:p>
            <w:pPr>
              <w:spacing w:line="300" w:lineRule="exact"/>
              <w:jc w:val="left"/>
              <w:rPr>
                <w:rFonts w:ascii="方正书宋_GBK" w:eastAsia="方正书宋_GBK"/>
              </w:rPr>
            </w:pPr>
            <w:r>
              <w:rPr>
                <w:rFonts w:ascii="方正书宋_GBK" w:eastAsia="方正书宋_GBK"/>
              </w:rPr>
              <w:t>年降水量的监测率</w:t>
            </w:r>
          </w:p>
        </w:tc>
        <w:tc>
          <w:tcPr>
            <w:tcW w:w="3806" w:type="dxa"/>
            <w:shd w:val="clear" w:color="auto" w:fill="auto"/>
            <w:vAlign w:val="center"/>
          </w:tcPr>
          <w:p>
            <w:pPr>
              <w:spacing w:line="300" w:lineRule="exact"/>
              <w:jc w:val="left"/>
              <w:rPr>
                <w:rFonts w:ascii="方正书宋_GBK" w:eastAsia="方正书宋_GBK"/>
              </w:rPr>
            </w:pPr>
            <w:r>
              <w:rPr>
                <w:rFonts w:ascii="方正书宋_GBK" w:eastAsia="方正书宋_GBK"/>
              </w:rPr>
              <w:t>通过全市所有站点的雨量传感器监测整年度降水量的情况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4" w:type="dxa"/>
            <w:vMerge w:val="continue"/>
            <w:shd w:val="clear" w:color="auto" w:fill="auto"/>
            <w:vAlign w:val="center"/>
          </w:tcPr>
          <w:p>
            <w:pPr>
              <w:spacing w:line="300" w:lineRule="exact"/>
              <w:jc w:val="center"/>
              <w:rPr>
                <w:rFonts w:ascii="方正书宋_GBK" w:eastAsia="方正书宋_GBK"/>
              </w:rPr>
            </w:pPr>
          </w:p>
        </w:tc>
        <w:tc>
          <w:tcPr>
            <w:tcW w:w="2127"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409" w:type="dxa"/>
            <w:shd w:val="clear" w:color="auto" w:fill="auto"/>
            <w:vAlign w:val="center"/>
          </w:tcPr>
          <w:p>
            <w:pPr>
              <w:spacing w:line="300" w:lineRule="exact"/>
              <w:jc w:val="left"/>
              <w:rPr>
                <w:rFonts w:ascii="方正书宋_GBK" w:eastAsia="方正书宋_GBK"/>
              </w:rPr>
            </w:pPr>
            <w:r>
              <w:rPr>
                <w:rFonts w:ascii="方正书宋_GBK" w:eastAsia="方正书宋_GBK"/>
              </w:rPr>
              <w:t>自动站数据传输率</w:t>
            </w:r>
          </w:p>
        </w:tc>
        <w:tc>
          <w:tcPr>
            <w:tcW w:w="3806" w:type="dxa"/>
            <w:shd w:val="clear" w:color="auto" w:fill="auto"/>
            <w:vAlign w:val="center"/>
          </w:tcPr>
          <w:p>
            <w:pPr>
              <w:spacing w:line="300" w:lineRule="exact"/>
              <w:jc w:val="left"/>
              <w:rPr>
                <w:rFonts w:ascii="方正书宋_GBK" w:eastAsia="方正书宋_GBK"/>
              </w:rPr>
            </w:pPr>
            <w:r>
              <w:rPr>
                <w:rFonts w:ascii="方正书宋_GBK" w:eastAsia="方正书宋_GBK"/>
              </w:rPr>
              <w:t>安装在全市范围内的自动站一年365天的信息传输率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4" w:type="dxa"/>
            <w:vMerge w:val="continue"/>
            <w:shd w:val="clear" w:color="auto" w:fill="auto"/>
            <w:vAlign w:val="center"/>
          </w:tcPr>
          <w:p>
            <w:pPr>
              <w:spacing w:line="300" w:lineRule="exact"/>
              <w:jc w:val="center"/>
              <w:rPr>
                <w:rFonts w:ascii="方正书宋_GBK" w:eastAsia="方正书宋_GBK"/>
              </w:rPr>
            </w:pPr>
          </w:p>
        </w:tc>
        <w:tc>
          <w:tcPr>
            <w:tcW w:w="2127"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409" w:type="dxa"/>
            <w:shd w:val="clear" w:color="auto" w:fill="auto"/>
            <w:vAlign w:val="center"/>
          </w:tcPr>
          <w:p>
            <w:pPr>
              <w:spacing w:line="300" w:lineRule="exact"/>
              <w:jc w:val="left"/>
              <w:rPr>
                <w:rFonts w:ascii="方正书宋_GBK" w:eastAsia="方正书宋_GBK"/>
              </w:rPr>
            </w:pPr>
            <w:r>
              <w:rPr>
                <w:rFonts w:ascii="方正书宋_GBK" w:eastAsia="方正书宋_GBK"/>
              </w:rPr>
              <w:t>待更换配件的更换率</w:t>
            </w:r>
          </w:p>
        </w:tc>
        <w:tc>
          <w:tcPr>
            <w:tcW w:w="3806" w:type="dxa"/>
            <w:shd w:val="clear" w:color="auto" w:fill="auto"/>
            <w:vAlign w:val="center"/>
          </w:tcPr>
          <w:p>
            <w:pPr>
              <w:spacing w:line="300" w:lineRule="exact"/>
              <w:jc w:val="left"/>
              <w:rPr>
                <w:rFonts w:ascii="方正书宋_GBK" w:eastAsia="方正书宋_GBK"/>
              </w:rPr>
            </w:pPr>
            <w:r>
              <w:rPr>
                <w:rFonts w:ascii="方正书宋_GBK" w:eastAsia="方正书宋_GBK"/>
              </w:rPr>
              <w:t>根据使用情况和设备检查情况更换配件的及时率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4" w:type="dxa"/>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2127"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409" w:type="dxa"/>
            <w:shd w:val="clear" w:color="auto" w:fill="auto"/>
            <w:vAlign w:val="center"/>
          </w:tcPr>
          <w:p>
            <w:pPr>
              <w:spacing w:line="300" w:lineRule="exact"/>
              <w:jc w:val="left"/>
              <w:rPr>
                <w:rFonts w:ascii="方正书宋_GBK" w:eastAsia="方正书宋_GBK"/>
              </w:rPr>
            </w:pPr>
            <w:r>
              <w:rPr>
                <w:rFonts w:ascii="方正书宋_GBK" w:eastAsia="方正书宋_GBK"/>
              </w:rPr>
              <w:t>预报预测业务的满足率</w:t>
            </w:r>
          </w:p>
        </w:tc>
        <w:tc>
          <w:tcPr>
            <w:tcW w:w="3806" w:type="dxa"/>
            <w:shd w:val="clear" w:color="auto" w:fill="auto"/>
            <w:vAlign w:val="center"/>
          </w:tcPr>
          <w:p>
            <w:pPr>
              <w:spacing w:line="300" w:lineRule="exact"/>
              <w:jc w:val="left"/>
              <w:rPr>
                <w:rFonts w:ascii="方正书宋_GBK" w:eastAsia="方正书宋_GBK"/>
              </w:rPr>
            </w:pPr>
            <w:r>
              <w:rPr>
                <w:rFonts w:ascii="方正书宋_GBK" w:eastAsia="方正书宋_GBK"/>
              </w:rPr>
              <w:t>各类气象设施监测到的气象要素数据对于开展预报预测业务的满足率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34"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2127"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409" w:type="dxa"/>
            <w:shd w:val="clear" w:color="auto" w:fill="auto"/>
            <w:vAlign w:val="center"/>
          </w:tcPr>
          <w:p>
            <w:pPr>
              <w:spacing w:line="300" w:lineRule="exact"/>
              <w:jc w:val="left"/>
              <w:rPr>
                <w:rFonts w:ascii="方正书宋_GBK" w:eastAsia="方正书宋_GBK"/>
              </w:rPr>
            </w:pPr>
            <w:r>
              <w:rPr>
                <w:rFonts w:ascii="方正书宋_GBK" w:eastAsia="方正书宋_GBK"/>
              </w:rPr>
              <w:t>公众气象服务满意度</w:t>
            </w:r>
          </w:p>
        </w:tc>
        <w:tc>
          <w:tcPr>
            <w:tcW w:w="3806" w:type="dxa"/>
            <w:shd w:val="clear" w:color="auto" w:fill="auto"/>
            <w:vAlign w:val="center"/>
          </w:tcPr>
          <w:p>
            <w:pPr>
              <w:spacing w:line="300" w:lineRule="exact"/>
              <w:jc w:val="left"/>
              <w:rPr>
                <w:rFonts w:ascii="方正书宋_GBK" w:eastAsia="方正书宋_GBK"/>
              </w:rPr>
            </w:pPr>
            <w:r>
              <w:rPr>
                <w:rFonts w:ascii="方正书宋_GBK" w:eastAsia="方正书宋_GBK"/>
              </w:rPr>
              <w:t>根据国家气象行业标准《气象服务公众满意度》规定的满意度等级划分和计算方法进行计算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河北省气象现代化实施方案</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10、宣传城市景观图片项目资金绩效目标表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9" w:name="_Toc29800282"/>
      <w:r>
        <w:rPr>
          <w:rFonts w:ascii="Times New Roman" w:hAnsi="Times New Roman" w:eastAsia="仿宋_GB2312" w:cs="Times New Roman"/>
          <w:sz w:val="28"/>
        </w:rPr>
        <w:instrText xml:space="preserve">10、宣传城市景观图片项目资金绩效目标表</w:instrText>
      </w:r>
      <w:bookmarkEnd w:id="9"/>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3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3"/>
        <w:gridCol w:w="1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3"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24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1、通过实施该项目，突出廊坊经济社会发展、生态文明建设等成就。</w:t>
            </w:r>
          </w:p>
          <w:p>
            <w:pPr>
              <w:spacing w:line="300" w:lineRule="exact"/>
              <w:jc w:val="left"/>
              <w:rPr>
                <w:rFonts w:ascii="方正书宋_GBK" w:eastAsia="方正书宋_GBK"/>
              </w:rPr>
            </w:pPr>
            <w:r>
              <w:rPr>
                <w:rFonts w:ascii="方正书宋_GBK" w:eastAsia="方正书宋_GBK"/>
              </w:rPr>
              <w:t>2、通过项目开展，完成在《新闻联播后》后《天气预报》节目中，投放廊坊城市景观宣传图片，实现加强廊坊对外宣传，提高城市知名度，展示廊坊美好形象的目标。</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3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3"/>
        <w:gridCol w:w="1985"/>
        <w:gridCol w:w="2551"/>
        <w:gridCol w:w="3735"/>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3"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985"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551"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3735"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城市景观图片数量</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反映城市景观图片数量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12张</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continue"/>
            <w:shd w:val="clear" w:color="auto" w:fill="auto"/>
            <w:vAlign w:val="center"/>
          </w:tcPr>
          <w:p>
            <w:pPr>
              <w:spacing w:line="300" w:lineRule="exact"/>
              <w:jc w:val="center"/>
              <w:rPr>
                <w:rFonts w:ascii="方正书宋_GBK" w:eastAsia="方正书宋_GBK"/>
              </w:rPr>
            </w:pP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成本指标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成本节约</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反映成本节约情况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≤999.6万元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continue"/>
            <w:shd w:val="clear" w:color="auto" w:fill="auto"/>
            <w:vAlign w:val="center"/>
          </w:tcPr>
          <w:p>
            <w:pPr>
              <w:spacing w:line="300" w:lineRule="exact"/>
              <w:jc w:val="center"/>
              <w:rPr>
                <w:rFonts w:ascii="方正书宋_GBK" w:eastAsia="方正书宋_GBK"/>
              </w:rPr>
            </w:pP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城市景观图片播放及时率</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反映城市景观图片播放的及时情况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continue"/>
            <w:shd w:val="clear" w:color="auto" w:fill="auto"/>
            <w:vAlign w:val="center"/>
          </w:tcPr>
          <w:p>
            <w:pPr>
              <w:spacing w:line="300" w:lineRule="exact"/>
              <w:jc w:val="center"/>
              <w:rPr>
                <w:rFonts w:ascii="方正书宋_GBK" w:eastAsia="方正书宋_GBK"/>
              </w:rPr>
            </w:pP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项目验收合格率</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该项目是否按照合同约定的播出时间和次数播出</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知名度提升情况</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较前几年，2020年廊坊城市名片通过该节目展示后的知名度提升情况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continue"/>
            <w:shd w:val="clear" w:color="auto" w:fill="auto"/>
            <w:vAlign w:val="center"/>
          </w:tcPr>
          <w:p>
            <w:pPr>
              <w:spacing w:line="300" w:lineRule="exact"/>
              <w:jc w:val="center"/>
              <w:rPr>
                <w:rFonts w:ascii="方正书宋_GBK" w:eastAsia="方正书宋_GBK"/>
              </w:rPr>
            </w:pP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城市景观图片播出率</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反映城市景观图片播出情况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vMerge w:val="continue"/>
            <w:shd w:val="clear" w:color="auto" w:fill="auto"/>
            <w:vAlign w:val="center"/>
          </w:tcPr>
          <w:p>
            <w:pPr>
              <w:spacing w:line="300" w:lineRule="exact"/>
              <w:jc w:val="center"/>
              <w:rPr>
                <w:rFonts w:ascii="方正书宋_GBK" w:eastAsia="方正书宋_GBK"/>
              </w:rPr>
            </w:pP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可持续影响指标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信息共享机制健全性</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反映城市景观图等信息共享机制健全情况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0健全</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相关信息共享管理制度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3"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985"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551"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w:t>
            </w:r>
          </w:p>
        </w:tc>
        <w:tc>
          <w:tcPr>
            <w:tcW w:w="3735"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服务对象对天气预报节目中宣传图片效果的整体满意度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年度工作总结确定数</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11、预警信息发布中心维持经费绩效目标表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10" w:name="_Toc29800283"/>
      <w:r>
        <w:rPr>
          <w:rFonts w:ascii="Times New Roman" w:hAnsi="Times New Roman" w:eastAsia="仿宋_GB2312" w:cs="Times New Roman"/>
          <w:sz w:val="28"/>
        </w:rPr>
        <w:instrText xml:space="preserve">11、预警信息发布中心维持经费绩效目标表</w:instrText>
      </w:r>
      <w:bookmarkEnd w:id="10"/>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tbl>
      <w:tblPr>
        <w:tblStyle w:val="6"/>
        <w:tblW w:w="139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7"/>
        <w:gridCol w:w="116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7" w:type="dxa"/>
            <w:tcBorders>
              <w:bottom w:val="nil"/>
            </w:tcBorders>
            <w:shd w:val="clear" w:color="auto" w:fill="auto"/>
            <w:vAlign w:val="center"/>
          </w:tcPr>
          <w:p>
            <w:pPr>
              <w:spacing w:line="300" w:lineRule="exact"/>
              <w:jc w:val="center"/>
              <w:rPr>
                <w:rFonts w:ascii="方正书宋_GBK" w:eastAsia="方正书宋_GBK"/>
                <w:b/>
              </w:rPr>
            </w:pPr>
            <w:r>
              <w:rPr>
                <w:rFonts w:ascii="方正书宋_GBK" w:eastAsia="方正书宋_GBK"/>
                <w:b/>
              </w:rPr>
              <w:t>绩效目标</w:t>
            </w:r>
          </w:p>
        </w:tc>
        <w:tc>
          <w:tcPr>
            <w:tcW w:w="1169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1、维持预警信息发布中心正常运行。</w:t>
            </w:r>
          </w:p>
          <w:p>
            <w:pPr>
              <w:spacing w:line="300" w:lineRule="exact"/>
              <w:jc w:val="left"/>
              <w:rPr>
                <w:rFonts w:ascii="方正书宋_GBK" w:eastAsia="方正书宋_GBK"/>
              </w:rPr>
            </w:pPr>
            <w:r>
              <w:rPr>
                <w:rFonts w:ascii="方正书宋_GBK" w:eastAsia="方正书宋_GBK"/>
              </w:rPr>
              <w:t>2、进行气象科普和气象防灾减灾知识的宣传，提升公众气象防灾减灾能力。</w:t>
            </w:r>
          </w:p>
        </w:tc>
      </w:tr>
    </w:tbl>
    <w:p>
      <w:pPr>
        <w:spacing w:line="14" w:lineRule="exact"/>
        <w:ind w:firstLine="420" w:firstLineChars="200"/>
        <w:jc w:val="center"/>
        <w:rPr>
          <w:rFonts w:ascii="Times New Roman" w:hAnsi="宋体" w:eastAsia="宋体"/>
        </w:rPr>
      </w:pPr>
      <w:r>
        <w:rPr>
          <w:rFonts w:ascii="方正书宋_GBK" w:eastAsia="方正书宋_GBK"/>
        </w:rPr>
        <w:t xml:space="preserve"> </w:t>
      </w:r>
    </w:p>
    <w:tbl>
      <w:tblPr>
        <w:tblStyle w:val="6"/>
        <w:tblW w:w="139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85"/>
        <w:gridCol w:w="1560"/>
        <w:gridCol w:w="2835"/>
        <w:gridCol w:w="433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85"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一级指标</w:t>
            </w:r>
          </w:p>
        </w:tc>
        <w:tc>
          <w:tcPr>
            <w:tcW w:w="1560" w:type="dxa"/>
            <w:shd w:val="clear" w:color="auto" w:fill="auto"/>
            <w:vAlign w:val="center"/>
          </w:tcPr>
          <w:p>
            <w:pPr>
              <w:spacing w:line="300" w:lineRule="exact"/>
              <w:jc w:val="center"/>
              <w:rPr>
                <w:rFonts w:ascii="方正书宋_GBK" w:eastAsia="方正书宋_GBK"/>
                <w:b/>
              </w:rPr>
            </w:pPr>
            <w:r>
              <w:rPr>
                <w:rFonts w:ascii="方正书宋_GBK" w:eastAsia="方正书宋_GBK"/>
                <w:b/>
              </w:rPr>
              <w:t>二级指标</w:t>
            </w:r>
          </w:p>
        </w:tc>
        <w:tc>
          <w:tcPr>
            <w:tcW w:w="2835" w:type="dxa"/>
            <w:shd w:val="clear" w:color="auto" w:fill="auto"/>
            <w:vAlign w:val="center"/>
          </w:tcPr>
          <w:p>
            <w:pPr>
              <w:spacing w:line="300" w:lineRule="exact"/>
              <w:jc w:val="center"/>
              <w:rPr>
                <w:rFonts w:ascii="方正书宋_GBK" w:eastAsia="方正书宋_GBK"/>
                <w:b/>
              </w:rPr>
            </w:pPr>
            <w:r>
              <w:rPr>
                <w:rFonts w:ascii="方正书宋_GBK" w:eastAsia="方正书宋_GBK"/>
                <w:b/>
              </w:rPr>
              <w:t>三级指标</w:t>
            </w:r>
          </w:p>
        </w:tc>
        <w:tc>
          <w:tcPr>
            <w:tcW w:w="4334" w:type="dxa"/>
            <w:shd w:val="clear" w:color="auto" w:fill="auto"/>
            <w:vAlign w:val="center"/>
          </w:tcPr>
          <w:p>
            <w:pPr>
              <w:spacing w:line="300" w:lineRule="exact"/>
              <w:jc w:val="center"/>
              <w:rPr>
                <w:rFonts w:ascii="方正书宋_GBK" w:eastAsia="方正书宋_GBK"/>
                <w:b/>
              </w:rPr>
            </w:pPr>
            <w:r>
              <w:rPr>
                <w:rFonts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85" w:type="dxa"/>
            <w:vMerge w:val="restart"/>
            <w:shd w:val="clear" w:color="auto" w:fill="auto"/>
            <w:vAlign w:val="center"/>
          </w:tcPr>
          <w:p>
            <w:pPr>
              <w:spacing w:line="300" w:lineRule="exact"/>
              <w:jc w:val="center"/>
              <w:rPr>
                <w:rFonts w:ascii="方正书宋_GBK" w:eastAsia="方正书宋_GBK"/>
              </w:rPr>
            </w:pPr>
            <w:r>
              <w:rPr>
                <w:rFonts w:ascii="方正书宋_GBK" w:eastAsia="方正书宋_GBK"/>
              </w:rPr>
              <w:t>产出指标</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时效指标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突发气象灾害预警提前量</w:t>
            </w:r>
          </w:p>
        </w:tc>
        <w:tc>
          <w:tcPr>
            <w:tcW w:w="4334" w:type="dxa"/>
            <w:shd w:val="clear" w:color="auto" w:fill="auto"/>
            <w:vAlign w:val="center"/>
          </w:tcPr>
          <w:p>
            <w:pPr>
              <w:spacing w:line="300" w:lineRule="exact"/>
              <w:jc w:val="left"/>
              <w:rPr>
                <w:rFonts w:ascii="方正书宋_GBK" w:eastAsia="方正书宋_GBK"/>
              </w:rPr>
            </w:pPr>
            <w:r>
              <w:rPr>
                <w:rFonts w:ascii="方正书宋_GBK" w:eastAsia="方正书宋_GBK"/>
              </w:rPr>
              <w:t>对暴雨、雷电、强对流等突发气象灾害预警平均提前量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≥30分钟</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预警信息发布时间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85" w:type="dxa"/>
            <w:vMerge w:val="continue"/>
            <w:shd w:val="clear" w:color="auto" w:fill="auto"/>
            <w:vAlign w:val="center"/>
          </w:tcPr>
          <w:p>
            <w:pPr>
              <w:spacing w:line="300" w:lineRule="exact"/>
              <w:jc w:val="center"/>
              <w:rPr>
                <w:rFonts w:ascii="方正书宋_GBK" w:eastAsia="方正书宋_GBK"/>
              </w:rPr>
            </w:pP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数量指标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发放气象科普材料的数量</w:t>
            </w:r>
          </w:p>
        </w:tc>
        <w:tc>
          <w:tcPr>
            <w:tcW w:w="4334" w:type="dxa"/>
            <w:shd w:val="clear" w:color="auto" w:fill="auto"/>
            <w:vAlign w:val="center"/>
          </w:tcPr>
          <w:p>
            <w:pPr>
              <w:spacing w:line="300" w:lineRule="exact"/>
              <w:jc w:val="left"/>
              <w:rPr>
                <w:rFonts w:ascii="方正书宋_GBK" w:eastAsia="方正书宋_GBK"/>
              </w:rPr>
            </w:pPr>
            <w:r>
              <w:rPr>
                <w:rFonts w:ascii="方正书宋_GBK" w:eastAsia="方正书宋_GBK"/>
              </w:rPr>
              <w:t>在“3·23世界气象日”、“5·12防灾减灾日”、“科技活动周”、“全国科普日”、科普“七进”等各类科普活动发放气象防灾减灾宣传材料数量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≥2000本</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材料领取登记表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85" w:type="dxa"/>
            <w:vMerge w:val="continue"/>
            <w:shd w:val="clear" w:color="auto" w:fill="auto"/>
            <w:vAlign w:val="center"/>
          </w:tcPr>
          <w:p>
            <w:pPr>
              <w:spacing w:line="300" w:lineRule="exact"/>
              <w:jc w:val="center"/>
              <w:rPr>
                <w:rFonts w:ascii="方正书宋_GBK" w:eastAsia="方正书宋_GBK"/>
              </w:rPr>
            </w:pP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质量指标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气象灾害普查调查覆盖率</w:t>
            </w:r>
          </w:p>
        </w:tc>
        <w:tc>
          <w:tcPr>
            <w:tcW w:w="4334" w:type="dxa"/>
            <w:shd w:val="clear" w:color="auto" w:fill="auto"/>
            <w:vAlign w:val="center"/>
          </w:tcPr>
          <w:p>
            <w:pPr>
              <w:spacing w:line="300" w:lineRule="exact"/>
              <w:jc w:val="left"/>
              <w:rPr>
                <w:rFonts w:ascii="方正书宋_GBK" w:eastAsia="方正书宋_GBK"/>
              </w:rPr>
            </w:pPr>
            <w:r>
              <w:rPr>
                <w:rFonts w:ascii="方正书宋_GBK" w:eastAsia="方正书宋_GBK"/>
              </w:rPr>
              <w:t>对我市主要气象灾害调查的范围占全市总面积的比率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普查结果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85" w:type="dxa"/>
            <w:shd w:val="clear" w:color="auto" w:fill="auto"/>
            <w:vAlign w:val="center"/>
          </w:tcPr>
          <w:p>
            <w:pPr>
              <w:spacing w:line="300" w:lineRule="exact"/>
              <w:jc w:val="center"/>
              <w:rPr>
                <w:rFonts w:ascii="方正书宋_GBK" w:eastAsia="方正书宋_GBK"/>
              </w:rPr>
            </w:pPr>
            <w:r>
              <w:rPr>
                <w:rFonts w:ascii="方正书宋_GBK" w:eastAsia="方正书宋_GBK"/>
              </w:rPr>
              <w:t>效果指标</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社会效益指标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提升公众气象防灾减灾能力</w:t>
            </w:r>
          </w:p>
        </w:tc>
        <w:tc>
          <w:tcPr>
            <w:tcW w:w="4334" w:type="dxa"/>
            <w:shd w:val="clear" w:color="auto" w:fill="auto"/>
            <w:vAlign w:val="center"/>
          </w:tcPr>
          <w:p>
            <w:pPr>
              <w:spacing w:line="300" w:lineRule="exact"/>
              <w:jc w:val="left"/>
              <w:rPr>
                <w:rFonts w:ascii="方正书宋_GBK" w:eastAsia="方正书宋_GBK"/>
              </w:rPr>
            </w:pPr>
            <w:r>
              <w:rPr>
                <w:rFonts w:ascii="方正书宋_GBK" w:eastAsia="方正书宋_GBK"/>
              </w:rPr>
              <w:t>公众掌握气象科普和气象防灾减灾知识方面的变化情况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普查结果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85" w:type="dxa"/>
            <w:shd w:val="clear" w:color="auto" w:fill="auto"/>
            <w:vAlign w:val="center"/>
          </w:tcPr>
          <w:p>
            <w:pPr>
              <w:spacing w:line="300" w:lineRule="exact"/>
              <w:jc w:val="center"/>
              <w:rPr>
                <w:rFonts w:ascii="方正书宋_GBK" w:eastAsia="方正书宋_GBK"/>
              </w:rPr>
            </w:pPr>
            <w:r>
              <w:rPr>
                <w:rFonts w:ascii="方正书宋_GBK" w:eastAsia="方正书宋_GBK"/>
              </w:rPr>
              <w:t>满意度指标</w:t>
            </w:r>
          </w:p>
        </w:tc>
        <w:tc>
          <w:tcPr>
            <w:tcW w:w="1560" w:type="dxa"/>
            <w:shd w:val="clear" w:color="auto" w:fill="auto"/>
            <w:vAlign w:val="center"/>
          </w:tcPr>
          <w:p>
            <w:pPr>
              <w:spacing w:line="300" w:lineRule="exact"/>
              <w:jc w:val="left"/>
              <w:rPr>
                <w:rFonts w:ascii="方正书宋_GBK" w:eastAsia="方正书宋_GBK"/>
              </w:rPr>
            </w:pPr>
            <w:r>
              <w:rPr>
                <w:rFonts w:ascii="方正书宋_GBK" w:eastAsia="方正书宋_GBK"/>
              </w:rPr>
              <w:t>服务对象满意度指标</w:t>
            </w:r>
          </w:p>
        </w:tc>
        <w:tc>
          <w:tcPr>
            <w:tcW w:w="2835" w:type="dxa"/>
            <w:shd w:val="clear" w:color="auto" w:fill="auto"/>
            <w:vAlign w:val="center"/>
          </w:tcPr>
          <w:p>
            <w:pPr>
              <w:spacing w:line="300" w:lineRule="exact"/>
              <w:jc w:val="left"/>
              <w:rPr>
                <w:rFonts w:ascii="方正书宋_GBK" w:eastAsia="方正书宋_GBK"/>
              </w:rPr>
            </w:pPr>
            <w:r>
              <w:rPr>
                <w:rFonts w:ascii="方正书宋_GBK" w:eastAsia="方正书宋_GBK"/>
              </w:rPr>
              <w:t>公众满意度</w:t>
            </w:r>
          </w:p>
        </w:tc>
        <w:tc>
          <w:tcPr>
            <w:tcW w:w="4334" w:type="dxa"/>
            <w:shd w:val="clear" w:color="auto" w:fill="auto"/>
            <w:vAlign w:val="center"/>
          </w:tcPr>
          <w:p>
            <w:pPr>
              <w:spacing w:line="300" w:lineRule="exact"/>
              <w:jc w:val="left"/>
              <w:rPr>
                <w:rFonts w:ascii="方正书宋_GBK" w:eastAsia="方正书宋_GBK"/>
              </w:rPr>
            </w:pPr>
            <w:r>
              <w:rPr>
                <w:rFonts w:ascii="方正书宋_GBK" w:eastAsia="方正书宋_GBK"/>
              </w:rPr>
              <w:t>调查中满意和较满意的公众数量占调查总人数的比率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≥80%</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调查问卷</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outlineLvl w:val="0"/>
        <w:rPr>
          <w:rFonts w:ascii="仿宋_GB2312" w:hAnsi="Times New Roman" w:eastAsia="仿宋_GB2312" w:cs="Times New Roman"/>
          <w:sz w:val="32"/>
          <w:szCs w:val="24"/>
        </w:rPr>
      </w:pPr>
      <w:bookmarkStart w:id="11" w:name="_Toc471398468"/>
      <w:r>
        <w:rPr>
          <w:rFonts w:hint="eastAsia" w:ascii="仿宋_GB2312" w:hAnsi="Times New Roman" w:eastAsia="仿宋_GB2312" w:cs="Times New Roman"/>
          <w:sz w:val="32"/>
          <w:szCs w:val="24"/>
        </w:rPr>
        <w:t>2020年，我部门安排政府采购预算1</w:t>
      </w:r>
      <w:r>
        <w:rPr>
          <w:rFonts w:hint="eastAsia" w:ascii="仿宋_GB2312" w:hAnsi="Times New Roman" w:eastAsia="仿宋_GB2312" w:cs="Times New Roman"/>
          <w:sz w:val="32"/>
          <w:szCs w:val="24"/>
          <w:lang w:val="en-US" w:eastAsia="zh-CN"/>
        </w:rPr>
        <w:t>30</w:t>
      </w:r>
      <w:r>
        <w:rPr>
          <w:rFonts w:hint="eastAsia" w:ascii="仿宋_GB2312" w:hAnsi="Times New Roman" w:eastAsia="仿宋_GB2312" w:cs="Times New Roman"/>
          <w:sz w:val="32"/>
          <w:szCs w:val="24"/>
        </w:rPr>
        <w:t>.00万元。具体内容见下表。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廊坊市气象局部门政府采购预算</w:t>
      </w:r>
      <w:bookmarkEnd w:id="11"/>
    </w:p>
    <w:tbl>
      <w:tblPr>
        <w:tblStyle w:val="6"/>
        <w:tblW w:w="144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977"/>
        <w:gridCol w:w="1655"/>
        <w:gridCol w:w="1082"/>
        <w:gridCol w:w="508"/>
        <w:gridCol w:w="879"/>
        <w:gridCol w:w="902"/>
        <w:gridCol w:w="978"/>
        <w:gridCol w:w="930"/>
        <w:gridCol w:w="975"/>
        <w:gridCol w:w="632"/>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rPr>
                <w:rFonts w:ascii="方正小标宋_GBK" w:hAnsi="Times New Roman" w:eastAsia="方正小标宋_GBK" w:cs="Times New Roman"/>
                <w:sz w:val="24"/>
                <w:szCs w:val="24"/>
              </w:rPr>
            </w:pPr>
            <w:r>
              <w:rPr>
                <w:rFonts w:hint="eastAsia" w:ascii="方正小标宋_GBK" w:hAnsi="Times New Roman" w:eastAsia="方正小标宋_GBK" w:cs="Times New Roman"/>
                <w:sz w:val="24"/>
                <w:szCs w:val="24"/>
              </w:rPr>
              <w:t>650廊坊市气象局</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jc w:val="right"/>
              <w:rPr>
                <w:rFonts w:ascii="方正书宋_GBK" w:hAnsi="Times New Roman" w:eastAsia="方正书宋_GBK" w:cs="Times New Roman"/>
                <w:sz w:val="24"/>
                <w:szCs w:val="24"/>
              </w:rPr>
            </w:pPr>
            <w:r>
              <w:rPr>
                <w:rFonts w:hint="eastAsia" w:ascii="方正书宋_GBK" w:hAnsi="Times New Roman"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68" w:type="dxa"/>
            <w:gridSpan w:val="2"/>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政府采购项目来源</w:t>
            </w:r>
          </w:p>
        </w:tc>
        <w:tc>
          <w:tcPr>
            <w:tcW w:w="1655"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采购物品名称</w:t>
            </w:r>
          </w:p>
        </w:tc>
        <w:tc>
          <w:tcPr>
            <w:tcW w:w="1082"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政府采购目录序号</w:t>
            </w:r>
          </w:p>
        </w:tc>
        <w:tc>
          <w:tcPr>
            <w:tcW w:w="508"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数量  单位</w:t>
            </w:r>
          </w:p>
        </w:tc>
        <w:tc>
          <w:tcPr>
            <w:tcW w:w="879"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数量</w:t>
            </w:r>
          </w:p>
        </w:tc>
        <w:tc>
          <w:tcPr>
            <w:tcW w:w="902"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单价</w:t>
            </w:r>
          </w:p>
        </w:tc>
        <w:tc>
          <w:tcPr>
            <w:tcW w:w="6103" w:type="dxa"/>
            <w:gridSpan w:val="7"/>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91"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项目名称</w:t>
            </w:r>
          </w:p>
        </w:tc>
        <w:tc>
          <w:tcPr>
            <w:tcW w:w="977"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预算资金</w:t>
            </w:r>
          </w:p>
        </w:tc>
        <w:tc>
          <w:tcPr>
            <w:tcW w:w="1655" w:type="dxa"/>
            <w:vMerge w:val="continue"/>
            <w:shd w:val="clear" w:color="auto" w:fill="auto"/>
            <w:vAlign w:val="center"/>
          </w:tcPr>
          <w:p>
            <w:pPr>
              <w:jc w:val="center"/>
              <w:rPr>
                <w:rFonts w:ascii="仿宋_GB2312" w:hAnsi="Calibri" w:eastAsia="仿宋_GB2312" w:cs="Times New Roman"/>
                <w:b/>
              </w:rPr>
            </w:pPr>
          </w:p>
        </w:tc>
        <w:tc>
          <w:tcPr>
            <w:tcW w:w="1082" w:type="dxa"/>
            <w:vMerge w:val="continue"/>
            <w:shd w:val="clear" w:color="auto" w:fill="auto"/>
            <w:vAlign w:val="center"/>
          </w:tcPr>
          <w:p>
            <w:pPr>
              <w:jc w:val="center"/>
              <w:rPr>
                <w:rFonts w:ascii="仿宋_GB2312" w:hAnsi="Calibri" w:eastAsia="仿宋_GB2312" w:cs="Times New Roman"/>
                <w:b/>
              </w:rPr>
            </w:pPr>
          </w:p>
        </w:tc>
        <w:tc>
          <w:tcPr>
            <w:tcW w:w="508" w:type="dxa"/>
            <w:vMerge w:val="continue"/>
            <w:shd w:val="clear" w:color="auto" w:fill="auto"/>
            <w:vAlign w:val="center"/>
          </w:tcPr>
          <w:p>
            <w:pPr>
              <w:jc w:val="center"/>
              <w:rPr>
                <w:rFonts w:ascii="仿宋_GB2312" w:hAnsi="Calibri" w:eastAsia="仿宋_GB2312" w:cs="Times New Roman"/>
                <w:b/>
              </w:rPr>
            </w:pPr>
          </w:p>
        </w:tc>
        <w:tc>
          <w:tcPr>
            <w:tcW w:w="879" w:type="dxa"/>
            <w:vMerge w:val="continue"/>
            <w:shd w:val="clear" w:color="auto" w:fill="auto"/>
            <w:vAlign w:val="center"/>
          </w:tcPr>
          <w:p>
            <w:pPr>
              <w:jc w:val="center"/>
              <w:rPr>
                <w:rFonts w:ascii="仿宋_GB2312" w:hAnsi="Calibri" w:eastAsia="仿宋_GB2312" w:cs="Times New Roman"/>
                <w:b/>
              </w:rPr>
            </w:pPr>
          </w:p>
        </w:tc>
        <w:tc>
          <w:tcPr>
            <w:tcW w:w="902" w:type="dxa"/>
            <w:vMerge w:val="continue"/>
            <w:shd w:val="clear" w:color="auto" w:fill="auto"/>
            <w:vAlign w:val="center"/>
          </w:tcPr>
          <w:p>
            <w:pPr>
              <w:jc w:val="center"/>
              <w:rPr>
                <w:rFonts w:ascii="仿宋_GB2312" w:hAnsi="Calibri" w:eastAsia="仿宋_GB2312" w:cs="Times New Roman"/>
                <w:b/>
              </w:rPr>
            </w:pPr>
          </w:p>
        </w:tc>
        <w:tc>
          <w:tcPr>
            <w:tcW w:w="978"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总计</w:t>
            </w:r>
          </w:p>
        </w:tc>
        <w:tc>
          <w:tcPr>
            <w:tcW w:w="4299" w:type="dxa"/>
            <w:gridSpan w:val="5"/>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当年部门预算安排资金</w:t>
            </w:r>
          </w:p>
        </w:tc>
        <w:tc>
          <w:tcPr>
            <w:tcW w:w="826" w:type="dxa"/>
            <w:vMerge w:val="restart"/>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20" w:hRule="atLeast"/>
          <w:tblHeader/>
          <w:jc w:val="center"/>
        </w:trPr>
        <w:tc>
          <w:tcPr>
            <w:tcW w:w="2391" w:type="dxa"/>
            <w:vMerge w:val="continue"/>
            <w:shd w:val="clear" w:color="auto" w:fill="auto"/>
            <w:vAlign w:val="center"/>
          </w:tcPr>
          <w:p>
            <w:pPr>
              <w:jc w:val="center"/>
              <w:rPr>
                <w:rFonts w:ascii="仿宋_GB2312" w:hAnsi="Calibri" w:eastAsia="仿宋_GB2312" w:cs="Times New Roman"/>
                <w:b/>
              </w:rPr>
            </w:pPr>
          </w:p>
        </w:tc>
        <w:tc>
          <w:tcPr>
            <w:tcW w:w="977" w:type="dxa"/>
            <w:vMerge w:val="continue"/>
            <w:shd w:val="clear" w:color="auto" w:fill="auto"/>
            <w:vAlign w:val="center"/>
          </w:tcPr>
          <w:p>
            <w:pPr>
              <w:jc w:val="center"/>
              <w:rPr>
                <w:rFonts w:ascii="仿宋_GB2312" w:hAnsi="Calibri" w:eastAsia="仿宋_GB2312" w:cs="Times New Roman"/>
                <w:b/>
              </w:rPr>
            </w:pPr>
          </w:p>
        </w:tc>
        <w:tc>
          <w:tcPr>
            <w:tcW w:w="1655" w:type="dxa"/>
            <w:vMerge w:val="continue"/>
            <w:shd w:val="clear" w:color="auto" w:fill="auto"/>
            <w:vAlign w:val="center"/>
          </w:tcPr>
          <w:p>
            <w:pPr>
              <w:jc w:val="center"/>
              <w:rPr>
                <w:rFonts w:ascii="仿宋_GB2312" w:hAnsi="Calibri" w:eastAsia="仿宋_GB2312" w:cs="Times New Roman"/>
                <w:b/>
              </w:rPr>
            </w:pPr>
          </w:p>
        </w:tc>
        <w:tc>
          <w:tcPr>
            <w:tcW w:w="1082" w:type="dxa"/>
            <w:vMerge w:val="continue"/>
            <w:shd w:val="clear" w:color="auto" w:fill="auto"/>
            <w:vAlign w:val="center"/>
          </w:tcPr>
          <w:p>
            <w:pPr>
              <w:jc w:val="center"/>
              <w:rPr>
                <w:rFonts w:ascii="仿宋_GB2312" w:hAnsi="Calibri" w:eastAsia="仿宋_GB2312" w:cs="Times New Roman"/>
                <w:b/>
              </w:rPr>
            </w:pPr>
          </w:p>
        </w:tc>
        <w:tc>
          <w:tcPr>
            <w:tcW w:w="508" w:type="dxa"/>
            <w:vMerge w:val="continue"/>
            <w:shd w:val="clear" w:color="auto" w:fill="auto"/>
            <w:vAlign w:val="center"/>
          </w:tcPr>
          <w:p>
            <w:pPr>
              <w:jc w:val="center"/>
              <w:rPr>
                <w:rFonts w:ascii="仿宋_GB2312" w:hAnsi="Calibri" w:eastAsia="仿宋_GB2312" w:cs="Times New Roman"/>
                <w:b/>
              </w:rPr>
            </w:pPr>
          </w:p>
        </w:tc>
        <w:tc>
          <w:tcPr>
            <w:tcW w:w="879" w:type="dxa"/>
            <w:vMerge w:val="continue"/>
            <w:shd w:val="clear" w:color="auto" w:fill="auto"/>
            <w:vAlign w:val="center"/>
          </w:tcPr>
          <w:p>
            <w:pPr>
              <w:jc w:val="center"/>
              <w:rPr>
                <w:rFonts w:ascii="仿宋_GB2312" w:hAnsi="Calibri" w:eastAsia="仿宋_GB2312" w:cs="Times New Roman"/>
                <w:b/>
              </w:rPr>
            </w:pPr>
          </w:p>
        </w:tc>
        <w:tc>
          <w:tcPr>
            <w:tcW w:w="902" w:type="dxa"/>
            <w:vMerge w:val="continue"/>
            <w:shd w:val="clear" w:color="auto" w:fill="auto"/>
            <w:vAlign w:val="center"/>
          </w:tcPr>
          <w:p>
            <w:pPr>
              <w:jc w:val="center"/>
              <w:rPr>
                <w:rFonts w:ascii="仿宋_GB2312" w:hAnsi="Calibri" w:eastAsia="仿宋_GB2312" w:cs="Times New Roman"/>
                <w:b/>
              </w:rPr>
            </w:pPr>
          </w:p>
        </w:tc>
        <w:tc>
          <w:tcPr>
            <w:tcW w:w="978" w:type="dxa"/>
            <w:vMerge w:val="continue"/>
            <w:shd w:val="clear" w:color="auto" w:fill="auto"/>
            <w:vAlign w:val="center"/>
          </w:tcPr>
          <w:p>
            <w:pPr>
              <w:jc w:val="center"/>
              <w:rPr>
                <w:rFonts w:ascii="仿宋_GB2312" w:hAnsi="Calibri" w:eastAsia="仿宋_GB2312" w:cs="Times New Roman"/>
                <w:b/>
              </w:rPr>
            </w:pPr>
          </w:p>
        </w:tc>
        <w:tc>
          <w:tcPr>
            <w:tcW w:w="930" w:type="dxa"/>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合计</w:t>
            </w:r>
          </w:p>
        </w:tc>
        <w:tc>
          <w:tcPr>
            <w:tcW w:w="975" w:type="dxa"/>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一般公共预算拨款</w:t>
            </w:r>
          </w:p>
        </w:tc>
        <w:tc>
          <w:tcPr>
            <w:tcW w:w="632" w:type="dxa"/>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基金预算拨款</w:t>
            </w:r>
          </w:p>
        </w:tc>
        <w:tc>
          <w:tcPr>
            <w:tcW w:w="881" w:type="dxa"/>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财政专户核拨</w:t>
            </w:r>
          </w:p>
        </w:tc>
        <w:tc>
          <w:tcPr>
            <w:tcW w:w="881" w:type="dxa"/>
            <w:shd w:val="clear" w:color="auto" w:fill="auto"/>
            <w:vAlign w:val="center"/>
          </w:tcPr>
          <w:p>
            <w:pPr>
              <w:jc w:val="center"/>
              <w:rPr>
                <w:rFonts w:ascii="仿宋_GB2312" w:hAnsi="Calibri" w:eastAsia="仿宋_GB2312" w:cs="Times New Roman"/>
                <w:b/>
              </w:rPr>
            </w:pPr>
            <w:r>
              <w:rPr>
                <w:rFonts w:hint="eastAsia" w:ascii="仿宋_GB2312" w:hAnsi="Calibri" w:eastAsia="仿宋_GB2312" w:cs="Times New Roman"/>
                <w:b/>
              </w:rPr>
              <w:t>其他来源收入</w:t>
            </w:r>
          </w:p>
        </w:tc>
        <w:tc>
          <w:tcPr>
            <w:tcW w:w="826" w:type="dxa"/>
            <w:vMerge w:val="continue"/>
            <w:shd w:val="clear" w:color="auto" w:fill="auto"/>
            <w:vAlign w:val="center"/>
          </w:tcPr>
          <w:p>
            <w:pPr>
              <w:jc w:val="center"/>
              <w:rPr>
                <w:rFonts w:ascii="仿宋_GB2312" w:hAnsi="Calibri"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jc w:val="center"/>
        </w:trPr>
        <w:tc>
          <w:tcPr>
            <w:tcW w:w="2391" w:type="dxa"/>
            <w:shd w:val="clear" w:color="auto" w:fill="auto"/>
            <w:vAlign w:val="center"/>
          </w:tcPr>
          <w:p>
            <w:pPr>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977" w:type="dxa"/>
            <w:shd w:val="clear" w:color="auto" w:fill="auto"/>
            <w:vAlign w:val="center"/>
          </w:tcPr>
          <w:p>
            <w:pPr>
              <w:jc w:val="right"/>
              <w:rPr>
                <w:rFonts w:ascii="方正书宋_GBK" w:hAnsi="Times New Roman" w:eastAsia="方正书宋_GBK" w:cs="Times New Roman"/>
                <w:b/>
                <w:szCs w:val="24"/>
              </w:rPr>
            </w:pPr>
          </w:p>
        </w:tc>
        <w:tc>
          <w:tcPr>
            <w:tcW w:w="1655" w:type="dxa"/>
            <w:shd w:val="clear" w:color="auto" w:fill="auto"/>
            <w:vAlign w:val="center"/>
          </w:tcPr>
          <w:p>
            <w:pPr>
              <w:jc w:val="left"/>
              <w:rPr>
                <w:rFonts w:ascii="方正书宋_GBK" w:hAnsi="Times New Roman" w:eastAsia="方正书宋_GBK" w:cs="Times New Roman"/>
                <w:b/>
                <w:szCs w:val="24"/>
              </w:rPr>
            </w:pPr>
          </w:p>
        </w:tc>
        <w:tc>
          <w:tcPr>
            <w:tcW w:w="1082" w:type="dxa"/>
            <w:shd w:val="clear" w:color="auto" w:fill="auto"/>
            <w:vAlign w:val="center"/>
          </w:tcPr>
          <w:p>
            <w:pPr>
              <w:jc w:val="left"/>
              <w:rPr>
                <w:rFonts w:ascii="方正书宋_GBK" w:hAnsi="Times New Roman" w:eastAsia="方正书宋_GBK" w:cs="Times New Roman"/>
                <w:b/>
                <w:szCs w:val="24"/>
              </w:rPr>
            </w:pPr>
          </w:p>
        </w:tc>
        <w:tc>
          <w:tcPr>
            <w:tcW w:w="508" w:type="dxa"/>
            <w:shd w:val="clear" w:color="auto" w:fill="auto"/>
            <w:vAlign w:val="center"/>
          </w:tcPr>
          <w:p>
            <w:pPr>
              <w:jc w:val="left"/>
              <w:rPr>
                <w:rFonts w:ascii="方正书宋_GBK" w:hAnsi="Times New Roman" w:eastAsia="方正书宋_GBK" w:cs="Times New Roman"/>
                <w:b/>
                <w:szCs w:val="24"/>
              </w:rPr>
            </w:pPr>
          </w:p>
        </w:tc>
        <w:tc>
          <w:tcPr>
            <w:tcW w:w="879" w:type="dxa"/>
            <w:shd w:val="clear" w:color="auto" w:fill="auto"/>
            <w:vAlign w:val="center"/>
          </w:tcPr>
          <w:p>
            <w:pPr>
              <w:jc w:val="right"/>
              <w:rPr>
                <w:rFonts w:ascii="方正书宋_GBK" w:hAnsi="Times New Roman" w:eastAsia="方正书宋_GBK" w:cs="Times New Roman"/>
                <w:b/>
                <w:szCs w:val="24"/>
              </w:rPr>
            </w:pPr>
          </w:p>
        </w:tc>
        <w:tc>
          <w:tcPr>
            <w:tcW w:w="902" w:type="dxa"/>
            <w:shd w:val="clear" w:color="auto" w:fill="auto"/>
            <w:vAlign w:val="center"/>
          </w:tcPr>
          <w:p>
            <w:pPr>
              <w:jc w:val="right"/>
              <w:rPr>
                <w:rFonts w:ascii="方正书宋_GBK" w:hAnsi="Times New Roman" w:eastAsia="方正书宋_GBK" w:cs="Times New Roman"/>
                <w:b/>
                <w:szCs w:val="24"/>
              </w:rPr>
            </w:pPr>
          </w:p>
        </w:tc>
        <w:tc>
          <w:tcPr>
            <w:tcW w:w="978" w:type="dxa"/>
            <w:shd w:val="clear" w:color="auto" w:fill="auto"/>
            <w:vAlign w:val="center"/>
          </w:tcPr>
          <w:p>
            <w:pPr>
              <w:jc w:val="right"/>
              <w:rPr>
                <w:rFonts w:ascii="方正书宋_GBK" w:hAnsi="Times New Roman" w:eastAsia="方正书宋_GBK" w:cs="Times New Roman"/>
                <w:b/>
                <w:szCs w:val="24"/>
              </w:rPr>
            </w:pPr>
            <w:r>
              <w:rPr>
                <w:rFonts w:hint="eastAsia" w:ascii="方正书宋_GBK" w:eastAsia="方正书宋_GBK"/>
                <w:b/>
              </w:rPr>
              <w:t>130.00</w:t>
            </w:r>
          </w:p>
        </w:tc>
        <w:tc>
          <w:tcPr>
            <w:tcW w:w="930" w:type="dxa"/>
            <w:shd w:val="clear" w:color="auto" w:fill="auto"/>
            <w:vAlign w:val="center"/>
          </w:tcPr>
          <w:p>
            <w:pPr>
              <w:jc w:val="right"/>
              <w:rPr>
                <w:rFonts w:ascii="方正书宋_GBK" w:hAnsi="Times New Roman" w:eastAsia="方正书宋_GBK" w:cs="Times New Roman"/>
                <w:b/>
                <w:szCs w:val="24"/>
              </w:rPr>
            </w:pPr>
            <w:r>
              <w:rPr>
                <w:rFonts w:hint="eastAsia" w:ascii="方正书宋_GBK" w:eastAsia="方正书宋_GBK"/>
                <w:b/>
              </w:rPr>
              <w:t>130.00</w:t>
            </w:r>
          </w:p>
        </w:tc>
        <w:tc>
          <w:tcPr>
            <w:tcW w:w="975" w:type="dxa"/>
            <w:shd w:val="clear" w:color="auto" w:fill="auto"/>
            <w:vAlign w:val="center"/>
          </w:tcPr>
          <w:p>
            <w:pPr>
              <w:jc w:val="right"/>
              <w:rPr>
                <w:rFonts w:ascii="方正书宋_GBK" w:hAnsi="Times New Roman" w:eastAsia="方正书宋_GBK" w:cs="Times New Roman"/>
                <w:b/>
                <w:szCs w:val="24"/>
              </w:rPr>
            </w:pPr>
            <w:r>
              <w:rPr>
                <w:rFonts w:hint="eastAsia" w:ascii="方正书宋_GBK" w:eastAsia="方正书宋_GBK"/>
                <w:b/>
              </w:rPr>
              <w:t>130.00</w:t>
            </w:r>
          </w:p>
        </w:tc>
        <w:tc>
          <w:tcPr>
            <w:tcW w:w="632" w:type="dxa"/>
            <w:shd w:val="clear" w:color="auto" w:fill="auto"/>
            <w:vAlign w:val="center"/>
          </w:tcPr>
          <w:p>
            <w:pPr>
              <w:jc w:val="right"/>
              <w:rPr>
                <w:rFonts w:ascii="方正书宋_GBK" w:hAnsi="Times New Roman" w:eastAsia="方正书宋_GBK" w:cs="Times New Roman"/>
                <w:b/>
                <w:szCs w:val="24"/>
              </w:rPr>
            </w:pPr>
          </w:p>
        </w:tc>
        <w:tc>
          <w:tcPr>
            <w:tcW w:w="881" w:type="dxa"/>
            <w:shd w:val="clear" w:color="auto" w:fill="auto"/>
            <w:vAlign w:val="center"/>
          </w:tcPr>
          <w:p>
            <w:pPr>
              <w:jc w:val="right"/>
              <w:rPr>
                <w:rFonts w:ascii="方正书宋_GBK" w:hAnsi="Times New Roman" w:eastAsia="方正书宋_GBK" w:cs="Times New Roman"/>
                <w:b/>
                <w:szCs w:val="24"/>
              </w:rPr>
            </w:pPr>
          </w:p>
        </w:tc>
        <w:tc>
          <w:tcPr>
            <w:tcW w:w="881" w:type="dxa"/>
            <w:shd w:val="clear" w:color="auto" w:fill="auto"/>
            <w:vAlign w:val="center"/>
          </w:tcPr>
          <w:p>
            <w:pPr>
              <w:jc w:val="right"/>
              <w:rPr>
                <w:rFonts w:ascii="方正书宋_GBK" w:hAnsi="Times New Roman" w:eastAsia="方正书宋_GBK" w:cs="Times New Roman"/>
                <w:b/>
                <w:szCs w:val="24"/>
              </w:rPr>
            </w:pPr>
          </w:p>
        </w:tc>
        <w:tc>
          <w:tcPr>
            <w:tcW w:w="826" w:type="dxa"/>
            <w:shd w:val="clear" w:color="auto" w:fill="auto"/>
            <w:vAlign w:val="center"/>
          </w:tcPr>
          <w:p>
            <w:pPr>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2391" w:type="dxa"/>
            <w:shd w:val="clear" w:color="auto" w:fill="auto"/>
            <w:vAlign w:val="center"/>
          </w:tcPr>
          <w:p>
            <w:pPr>
              <w:jc w:val="left"/>
              <w:rPr>
                <w:rFonts w:ascii="方正书宋_GBK" w:hAnsi="Times New Roman" w:eastAsia="方正书宋_GBK" w:cs="Times New Roman"/>
                <w:b/>
                <w:szCs w:val="24"/>
              </w:rPr>
            </w:pPr>
            <w:r>
              <w:rPr>
                <w:rFonts w:hint="eastAsia" w:ascii="方正书宋_GBK" w:eastAsia="方正书宋_GBK"/>
              </w:rPr>
              <w:t>廊坊市设施农业智能气象服务经费</w:t>
            </w:r>
          </w:p>
        </w:tc>
        <w:tc>
          <w:tcPr>
            <w:tcW w:w="977" w:type="dxa"/>
            <w:shd w:val="clear" w:color="auto" w:fill="auto"/>
            <w:vAlign w:val="center"/>
          </w:tcPr>
          <w:p>
            <w:pPr>
              <w:jc w:val="center"/>
              <w:rPr>
                <w:rFonts w:ascii="方正书宋_GBK" w:hAnsi="Times New Roman" w:eastAsia="方正书宋_GBK" w:cs="Times New Roman"/>
                <w:b/>
                <w:szCs w:val="24"/>
              </w:rPr>
            </w:pPr>
            <w:r>
              <w:rPr>
                <w:rFonts w:hint="eastAsia" w:ascii="方正书宋_GBK" w:eastAsia="方正书宋_GBK"/>
              </w:rPr>
              <w:t>130.00</w:t>
            </w:r>
          </w:p>
        </w:tc>
        <w:tc>
          <w:tcPr>
            <w:tcW w:w="1655" w:type="dxa"/>
            <w:shd w:val="clear" w:color="auto" w:fill="auto"/>
            <w:vAlign w:val="center"/>
          </w:tcPr>
          <w:p>
            <w:pPr>
              <w:jc w:val="left"/>
              <w:rPr>
                <w:rFonts w:ascii="方正书宋_GBK" w:eastAsia="方正书宋_GBK"/>
              </w:rPr>
            </w:pPr>
            <w:r>
              <w:rPr>
                <w:rFonts w:hint="eastAsia" w:ascii="方正书宋_GBK" w:eastAsia="方正书宋_GBK"/>
              </w:rPr>
              <w:t>气象仪器</w:t>
            </w:r>
          </w:p>
        </w:tc>
        <w:tc>
          <w:tcPr>
            <w:tcW w:w="1082" w:type="dxa"/>
            <w:shd w:val="clear" w:color="auto" w:fill="auto"/>
            <w:vAlign w:val="center"/>
          </w:tcPr>
          <w:p>
            <w:pPr>
              <w:jc w:val="left"/>
              <w:rPr>
                <w:rFonts w:ascii="方正书宋_GBK" w:eastAsia="方正书宋_GBK"/>
              </w:rPr>
            </w:pPr>
            <w:r>
              <w:rPr>
                <w:rFonts w:hint="eastAsia" w:ascii="方正书宋_GBK" w:eastAsia="方正书宋_GBK"/>
              </w:rPr>
              <w:t>A033408</w:t>
            </w:r>
          </w:p>
        </w:tc>
        <w:tc>
          <w:tcPr>
            <w:tcW w:w="508" w:type="dxa"/>
            <w:shd w:val="clear" w:color="auto" w:fill="auto"/>
            <w:vAlign w:val="center"/>
          </w:tcPr>
          <w:p>
            <w:pPr>
              <w:jc w:val="left"/>
              <w:rPr>
                <w:rFonts w:ascii="方正书宋_GBK" w:eastAsia="方正书宋_GBK"/>
              </w:rPr>
            </w:pPr>
            <w:r>
              <w:rPr>
                <w:rFonts w:hint="eastAsia" w:ascii="方正书宋_GBK" w:eastAsia="方正书宋_GBK"/>
              </w:rPr>
              <w:t>套</w:t>
            </w:r>
          </w:p>
        </w:tc>
        <w:tc>
          <w:tcPr>
            <w:tcW w:w="879" w:type="dxa"/>
            <w:shd w:val="clear" w:color="auto" w:fill="auto"/>
            <w:vAlign w:val="center"/>
          </w:tcPr>
          <w:p>
            <w:pPr>
              <w:jc w:val="left"/>
              <w:rPr>
                <w:rFonts w:ascii="方正书宋_GBK" w:eastAsia="方正书宋_GBK"/>
              </w:rPr>
            </w:pPr>
            <w:r>
              <w:rPr>
                <w:rFonts w:hint="eastAsia" w:ascii="方正书宋_GBK" w:eastAsia="方正书宋_GBK"/>
              </w:rPr>
              <w:t>1</w:t>
            </w:r>
          </w:p>
        </w:tc>
        <w:tc>
          <w:tcPr>
            <w:tcW w:w="902" w:type="dxa"/>
            <w:shd w:val="clear" w:color="auto" w:fill="auto"/>
            <w:vAlign w:val="center"/>
          </w:tcPr>
          <w:p>
            <w:pPr>
              <w:jc w:val="left"/>
              <w:rPr>
                <w:rFonts w:ascii="方正书宋_GBK" w:eastAsia="方正书宋_GBK"/>
              </w:rPr>
            </w:pPr>
            <w:r>
              <w:rPr>
                <w:rFonts w:hint="eastAsia" w:ascii="方正书宋_GBK" w:eastAsia="方正书宋_GBK"/>
              </w:rPr>
              <w:t>130.00</w:t>
            </w:r>
          </w:p>
        </w:tc>
        <w:tc>
          <w:tcPr>
            <w:tcW w:w="978" w:type="dxa"/>
            <w:shd w:val="clear" w:color="auto" w:fill="auto"/>
            <w:vAlign w:val="center"/>
          </w:tcPr>
          <w:p>
            <w:pPr>
              <w:jc w:val="left"/>
              <w:rPr>
                <w:rFonts w:ascii="方正书宋_GBK" w:eastAsia="方正书宋_GBK"/>
              </w:rPr>
            </w:pPr>
            <w:r>
              <w:rPr>
                <w:rFonts w:hint="eastAsia" w:ascii="方正书宋_GBK" w:eastAsia="方正书宋_GBK"/>
              </w:rPr>
              <w:t>130.00</w:t>
            </w:r>
          </w:p>
        </w:tc>
        <w:tc>
          <w:tcPr>
            <w:tcW w:w="930" w:type="dxa"/>
            <w:shd w:val="clear" w:color="auto" w:fill="auto"/>
            <w:vAlign w:val="center"/>
          </w:tcPr>
          <w:p>
            <w:pPr>
              <w:jc w:val="left"/>
              <w:rPr>
                <w:rFonts w:ascii="方正书宋_GBK" w:eastAsia="方正书宋_GBK"/>
              </w:rPr>
            </w:pPr>
            <w:r>
              <w:rPr>
                <w:rFonts w:hint="eastAsia" w:ascii="方正书宋_GBK" w:eastAsia="方正书宋_GBK"/>
              </w:rPr>
              <w:t>130.00</w:t>
            </w:r>
          </w:p>
        </w:tc>
        <w:tc>
          <w:tcPr>
            <w:tcW w:w="975" w:type="dxa"/>
            <w:shd w:val="clear" w:color="auto" w:fill="auto"/>
            <w:vAlign w:val="center"/>
          </w:tcPr>
          <w:p>
            <w:pPr>
              <w:jc w:val="left"/>
              <w:rPr>
                <w:rFonts w:ascii="方正书宋_GBK" w:hAnsi="Times New Roman" w:eastAsia="方正书宋_GBK" w:cs="Times New Roman"/>
                <w:b/>
                <w:szCs w:val="24"/>
              </w:rPr>
            </w:pPr>
            <w:r>
              <w:rPr>
                <w:rFonts w:hint="eastAsia" w:ascii="方正书宋_GBK" w:eastAsia="方正书宋_GBK"/>
              </w:rPr>
              <w:t>130.00</w:t>
            </w:r>
          </w:p>
        </w:tc>
        <w:tc>
          <w:tcPr>
            <w:tcW w:w="632" w:type="dxa"/>
            <w:shd w:val="clear" w:color="auto" w:fill="auto"/>
            <w:vAlign w:val="center"/>
          </w:tcPr>
          <w:p>
            <w:pPr>
              <w:jc w:val="right"/>
              <w:rPr>
                <w:rFonts w:ascii="方正书宋_GBK" w:hAnsi="Times New Roman" w:eastAsia="方正书宋_GBK" w:cs="Times New Roman"/>
                <w:b/>
                <w:szCs w:val="24"/>
              </w:rPr>
            </w:pPr>
          </w:p>
        </w:tc>
        <w:tc>
          <w:tcPr>
            <w:tcW w:w="881" w:type="dxa"/>
            <w:shd w:val="clear" w:color="auto" w:fill="auto"/>
            <w:vAlign w:val="center"/>
          </w:tcPr>
          <w:p>
            <w:pPr>
              <w:jc w:val="right"/>
              <w:rPr>
                <w:rFonts w:ascii="方正书宋_GBK" w:hAnsi="Times New Roman" w:eastAsia="方正书宋_GBK" w:cs="Times New Roman"/>
                <w:b/>
                <w:szCs w:val="24"/>
              </w:rPr>
            </w:pPr>
          </w:p>
        </w:tc>
        <w:tc>
          <w:tcPr>
            <w:tcW w:w="881" w:type="dxa"/>
            <w:shd w:val="clear" w:color="auto" w:fill="auto"/>
            <w:vAlign w:val="center"/>
          </w:tcPr>
          <w:p>
            <w:pPr>
              <w:jc w:val="right"/>
              <w:rPr>
                <w:rFonts w:ascii="方正书宋_GBK" w:hAnsi="Times New Roman" w:eastAsia="方正书宋_GBK" w:cs="Times New Roman"/>
                <w:b/>
                <w:szCs w:val="24"/>
              </w:rPr>
            </w:pPr>
          </w:p>
        </w:tc>
        <w:tc>
          <w:tcPr>
            <w:tcW w:w="826" w:type="dxa"/>
            <w:shd w:val="clear" w:color="auto" w:fill="auto"/>
            <w:vAlign w:val="center"/>
          </w:tcPr>
          <w:p>
            <w:pPr>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outlineLvl w:val="0"/>
        <w:rPr>
          <w:rFonts w:ascii="Times New Roman" w:hAnsi="Times New Roman" w:eastAsia="方正仿宋_GBK" w:cs="Times New Roman"/>
          <w:sz w:val="32"/>
          <w:szCs w:val="32"/>
        </w:rPr>
      </w:pPr>
      <w:r>
        <w:rPr>
          <w:rFonts w:hint="eastAsia" w:ascii="仿宋_GB2312" w:hAnsi="黑体" w:eastAsia="仿宋_GB2312" w:cs="Times New Roman"/>
          <w:sz w:val="32"/>
          <w:szCs w:val="32"/>
        </w:rPr>
        <w:t>廊坊市气象局（含所属单位）上年末固定资产金额为1993.81万元，本年度我部门拟购置固定资产</w:t>
      </w:r>
      <w:r>
        <w:rPr>
          <w:rFonts w:hint="eastAsia" w:ascii="Times New Roman" w:hAnsi="Times New Roman" w:eastAsia="仿宋_GB2312" w:cs="Times New Roman"/>
          <w:sz w:val="32"/>
          <w:szCs w:val="32"/>
        </w:rPr>
        <w:t>总额为1</w:t>
      </w:r>
      <w:r>
        <w:rPr>
          <w:rFonts w:hint="eastAsia" w:ascii="Times New Roman" w:hAnsi="Times New Roman" w:eastAsia="仿宋_GB2312" w:cs="Times New Roman"/>
          <w:sz w:val="32"/>
          <w:szCs w:val="32"/>
          <w:lang w:val="en-US" w:eastAsia="zh-CN"/>
        </w:rPr>
        <w:t>30.00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仿宋_GB2312" w:hAnsi="黑体" w:eastAsia="仿宋_GB2312" w:cs="Times New Roman"/>
          <w:sz w:val="32"/>
          <w:szCs w:val="32"/>
        </w:rPr>
        <w:t>气象仪器等，已列入政府采购预算。详见下表。</w:t>
      </w:r>
      <w:bookmarkStart w:id="12" w:name="_GoBack"/>
      <w:bookmarkEnd w:id="12"/>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r>
              <w:rPr>
                <w:rFonts w:hint="eastAsia" w:ascii="仿宋_GB2312" w:hAnsi="宋体" w:eastAsia="仿宋_GB2312" w:cs="宋体"/>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仿宋_GB2312" w:cs="宋体"/>
                <w:kern w:val="0"/>
                <w:sz w:val="22"/>
              </w:rPr>
            </w:pPr>
            <w:r>
              <w:rPr>
                <w:rFonts w:hint="eastAsia" w:ascii="仿宋_GB2312" w:hAnsi="宋体" w:eastAsia="仿宋_GB2312" w:cs="宋体"/>
                <w:kern w:val="0"/>
                <w:sz w:val="22"/>
              </w:rPr>
              <w:t>编制部门：廊坊市气象局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截止时间：2019年12月31日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rPr>
            </w:pPr>
            <w:r>
              <w:rPr>
                <w:rFonts w:hint="eastAsia" w:ascii="仿宋_GB2312" w:hAnsi="宋体" w:eastAsia="仿宋_GB2312"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1993.81</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1</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184</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3、单价在50万元以上的设备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3</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244.35</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r>
              <w:rPr>
                <w:rFonts w:hint="eastAsia" w:ascii="仿宋_GB2312" w:hAnsi="宋体" w:eastAsia="仿宋_GB2312"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2"/>
              </w:rPr>
            </w:pPr>
            <w:r>
              <w:rPr>
                <w:rFonts w:hint="eastAsia" w:ascii="仿宋_GB2312" w:hAnsi="宋体" w:eastAsia="仿宋_GB2312" w:cs="宋体"/>
                <w:kern w:val="0"/>
                <w:sz w:val="22"/>
              </w:rPr>
              <w:t>1565.46</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1、一般公共预算拨款收入：</w:t>
      </w:r>
      <w:r>
        <w:rPr>
          <w:rFonts w:hint="eastAsia" w:ascii="仿宋_GB2312" w:hAnsi="Times New Roman" w:eastAsia="仿宋_GB2312" w:cs="Times New Roman"/>
          <w:sz w:val="32"/>
          <w:szCs w:val="32"/>
        </w:rPr>
        <w:t>指省级财政当年拨付的资金。</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2、事业收入：</w:t>
      </w:r>
      <w:r>
        <w:rPr>
          <w:rFonts w:hint="eastAsia" w:ascii="仿宋_GB2312" w:hAnsi="Times New Roman" w:eastAsia="仿宋_GB2312" w:cs="Times New Roman"/>
          <w:sz w:val="32"/>
          <w:szCs w:val="32"/>
        </w:rPr>
        <w:t>指事业单位开展专业业务活动及辅助活动所取得的收入。</w:t>
      </w:r>
    </w:p>
    <w:p>
      <w:pPr>
        <w:tabs>
          <w:tab w:val="left" w:pos="11490"/>
        </w:tabs>
        <w:ind w:firstLine="643" w:firstLineChars="200"/>
        <w:rPr>
          <w:rFonts w:ascii="仿宋_GB2312" w:hAnsi="Times New Roman" w:eastAsia="仿宋_GB2312" w:cs="Times New Roman"/>
          <w:b/>
          <w:sz w:val="32"/>
          <w:szCs w:val="32"/>
        </w:rPr>
      </w:pPr>
      <w:r>
        <w:rPr>
          <w:rFonts w:hint="eastAsia" w:ascii="楷体" w:hAnsi="楷体" w:eastAsia="楷体" w:cs="Times New Roman"/>
          <w:b/>
          <w:sz w:val="32"/>
          <w:szCs w:val="32"/>
        </w:rPr>
        <w:t>3、其他收入：</w:t>
      </w:r>
      <w:r>
        <w:rPr>
          <w:rFonts w:hint="eastAsia" w:ascii="仿宋_GB2312" w:hAnsi="Times New Roman" w:eastAsia="仿宋_GB2312" w:cs="Times New Roman"/>
          <w:sz w:val="32"/>
          <w:szCs w:val="32"/>
        </w:rPr>
        <w:t>指除“一般公共预算拨款收入”、“事业收入”等以外的收入。主要是按规定动用的租房收入、存款利息收入等。</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4、基本支出：</w:t>
      </w:r>
      <w:r>
        <w:rPr>
          <w:rFonts w:hint="eastAsia" w:ascii="仿宋_GB2312" w:hAnsi="Times New Roman" w:eastAsia="仿宋_GB2312" w:cs="Times New Roman"/>
          <w:sz w:val="32"/>
          <w:szCs w:val="32"/>
        </w:rPr>
        <w:t>指为保障机构正常运转、完成日常工作任务而发生的人员支出和公用支出。</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5、项目支出：</w:t>
      </w:r>
      <w:r>
        <w:rPr>
          <w:rFonts w:hint="eastAsia" w:ascii="仿宋_GB2312" w:hAnsi="Times New Roman" w:eastAsia="仿宋_GB2312" w:cs="Times New Roman"/>
          <w:sz w:val="32"/>
          <w:szCs w:val="32"/>
        </w:rPr>
        <w:t>指在基本支出之外为完成特定行政任务和事业发展目标所发生的支出。</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6、上缴上级支出：</w:t>
      </w:r>
      <w:r>
        <w:rPr>
          <w:rFonts w:hint="eastAsia" w:ascii="仿宋_GB2312" w:hAnsi="Times New Roman" w:eastAsia="仿宋_GB2312" w:cs="Times New Roman"/>
          <w:sz w:val="32"/>
          <w:szCs w:val="32"/>
        </w:rPr>
        <w:t>指下级单位上缴上级的支出。</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7、“三公”经费：</w:t>
      </w:r>
      <w:r>
        <w:rPr>
          <w:rFonts w:hint="eastAsia" w:ascii="仿宋_GB2312"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8、机关运行费：</w:t>
      </w:r>
      <w:r>
        <w:rPr>
          <w:rFonts w:hint="eastAsia" w:ascii="仿宋_GB2312"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9、上年结转：</w:t>
      </w:r>
      <w:r>
        <w:rPr>
          <w:rFonts w:hint="eastAsia" w:ascii="仿宋_GB2312" w:hAnsi="Times New Roman" w:eastAsia="仿宋_GB2312" w:cs="Times New Roman"/>
          <w:sz w:val="32"/>
          <w:szCs w:val="32"/>
        </w:rPr>
        <w:t>指以前年度尚未完成、结转到本年仍按原规定用途继续使用的资金。</w:t>
      </w:r>
    </w:p>
    <w:p>
      <w:pPr>
        <w:tabs>
          <w:tab w:val="left" w:pos="11490"/>
        </w:tabs>
        <w:ind w:firstLine="643" w:firstLineChars="200"/>
        <w:rPr>
          <w:rFonts w:ascii="仿宋_GB2312" w:hAnsi="Times New Roman" w:eastAsia="仿宋_GB2312" w:cs="Times New Roman"/>
          <w:sz w:val="32"/>
          <w:szCs w:val="32"/>
        </w:rPr>
      </w:pPr>
      <w:r>
        <w:rPr>
          <w:rFonts w:hint="eastAsia" w:ascii="楷体" w:hAnsi="楷体" w:eastAsia="楷体" w:cs="Times New Roman"/>
          <w:b/>
          <w:sz w:val="32"/>
          <w:szCs w:val="32"/>
        </w:rPr>
        <w:t>10、事业单位经营支出：</w:t>
      </w:r>
      <w:r>
        <w:rPr>
          <w:rFonts w:hint="eastAsia" w:ascii="仿宋_GB2312"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我部门无其他需要说明的事项。</w:t>
      </w:r>
    </w:p>
    <w:p>
      <w:pPr>
        <w:ind w:firstLine="640" w:firstLineChars="200"/>
        <w:outlineLvl w:val="0"/>
        <w:rPr>
          <w:rFonts w:ascii="Times New Roman" w:hAnsi="Times New Roman" w:eastAsia="方正仿宋_GBK"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7AF6"/>
    <w:rsid w:val="000407A7"/>
    <w:rsid w:val="00045A61"/>
    <w:rsid w:val="00075D5F"/>
    <w:rsid w:val="000C3A19"/>
    <w:rsid w:val="001245BB"/>
    <w:rsid w:val="001351E0"/>
    <w:rsid w:val="0018479D"/>
    <w:rsid w:val="00191715"/>
    <w:rsid w:val="001E77D4"/>
    <w:rsid w:val="002066E3"/>
    <w:rsid w:val="00222FF7"/>
    <w:rsid w:val="00241FD4"/>
    <w:rsid w:val="00251B12"/>
    <w:rsid w:val="002645FB"/>
    <w:rsid w:val="00296113"/>
    <w:rsid w:val="002F3E58"/>
    <w:rsid w:val="0030542C"/>
    <w:rsid w:val="00311B7A"/>
    <w:rsid w:val="0031732D"/>
    <w:rsid w:val="003A2F97"/>
    <w:rsid w:val="003C7E2F"/>
    <w:rsid w:val="003E1A7F"/>
    <w:rsid w:val="00451871"/>
    <w:rsid w:val="00472923"/>
    <w:rsid w:val="0047327F"/>
    <w:rsid w:val="004E3066"/>
    <w:rsid w:val="004E74CD"/>
    <w:rsid w:val="004F0C17"/>
    <w:rsid w:val="00523238"/>
    <w:rsid w:val="00573562"/>
    <w:rsid w:val="00587F2B"/>
    <w:rsid w:val="005E23AF"/>
    <w:rsid w:val="00614A29"/>
    <w:rsid w:val="00647EC6"/>
    <w:rsid w:val="006D02FC"/>
    <w:rsid w:val="00746B97"/>
    <w:rsid w:val="0075393C"/>
    <w:rsid w:val="00776C08"/>
    <w:rsid w:val="007B4EE0"/>
    <w:rsid w:val="007E1DA8"/>
    <w:rsid w:val="007F6C26"/>
    <w:rsid w:val="008334AE"/>
    <w:rsid w:val="00836FED"/>
    <w:rsid w:val="00845CD2"/>
    <w:rsid w:val="008502D8"/>
    <w:rsid w:val="00852B0D"/>
    <w:rsid w:val="00880307"/>
    <w:rsid w:val="00881692"/>
    <w:rsid w:val="008B3CC5"/>
    <w:rsid w:val="008C2BAF"/>
    <w:rsid w:val="008E4261"/>
    <w:rsid w:val="008F4662"/>
    <w:rsid w:val="00905D08"/>
    <w:rsid w:val="00925753"/>
    <w:rsid w:val="00940556"/>
    <w:rsid w:val="00966C5C"/>
    <w:rsid w:val="00973104"/>
    <w:rsid w:val="009954FC"/>
    <w:rsid w:val="009C1ABC"/>
    <w:rsid w:val="00A71365"/>
    <w:rsid w:val="00A72D2E"/>
    <w:rsid w:val="00A75463"/>
    <w:rsid w:val="00A911E7"/>
    <w:rsid w:val="00A939D9"/>
    <w:rsid w:val="00AA4546"/>
    <w:rsid w:val="00AE68CE"/>
    <w:rsid w:val="00B151C0"/>
    <w:rsid w:val="00B20712"/>
    <w:rsid w:val="00B43238"/>
    <w:rsid w:val="00B50808"/>
    <w:rsid w:val="00B75053"/>
    <w:rsid w:val="00B75216"/>
    <w:rsid w:val="00B91D52"/>
    <w:rsid w:val="00BA1ACD"/>
    <w:rsid w:val="00BA387A"/>
    <w:rsid w:val="00CA7176"/>
    <w:rsid w:val="00CD2773"/>
    <w:rsid w:val="00CE143B"/>
    <w:rsid w:val="00D02384"/>
    <w:rsid w:val="00D33268"/>
    <w:rsid w:val="00D844A4"/>
    <w:rsid w:val="00DE0FC4"/>
    <w:rsid w:val="00E167C7"/>
    <w:rsid w:val="00EC47F6"/>
    <w:rsid w:val="00EE19A7"/>
    <w:rsid w:val="00EE1B43"/>
    <w:rsid w:val="00F002CC"/>
    <w:rsid w:val="00F13034"/>
    <w:rsid w:val="00F153EF"/>
    <w:rsid w:val="00F66032"/>
    <w:rsid w:val="00F958C2"/>
    <w:rsid w:val="039F776F"/>
    <w:rsid w:val="03D7007E"/>
    <w:rsid w:val="067F0DC5"/>
    <w:rsid w:val="0C851195"/>
    <w:rsid w:val="0CC805FE"/>
    <w:rsid w:val="0D4277F4"/>
    <w:rsid w:val="0DBD5F48"/>
    <w:rsid w:val="131C6783"/>
    <w:rsid w:val="16552130"/>
    <w:rsid w:val="16E90F7E"/>
    <w:rsid w:val="16FF2522"/>
    <w:rsid w:val="172C6213"/>
    <w:rsid w:val="1B023F23"/>
    <w:rsid w:val="20EA7849"/>
    <w:rsid w:val="264A32D9"/>
    <w:rsid w:val="284A0FF5"/>
    <w:rsid w:val="2E660D72"/>
    <w:rsid w:val="300172C8"/>
    <w:rsid w:val="32AF3AA7"/>
    <w:rsid w:val="354E1D49"/>
    <w:rsid w:val="35706D08"/>
    <w:rsid w:val="383454A1"/>
    <w:rsid w:val="3D7F4ADB"/>
    <w:rsid w:val="3FCC0FAF"/>
    <w:rsid w:val="44A552FF"/>
    <w:rsid w:val="45194FE7"/>
    <w:rsid w:val="45CA722F"/>
    <w:rsid w:val="48064385"/>
    <w:rsid w:val="4B6541B0"/>
    <w:rsid w:val="4DDE1305"/>
    <w:rsid w:val="4FD265F0"/>
    <w:rsid w:val="512B765A"/>
    <w:rsid w:val="51F4103B"/>
    <w:rsid w:val="552D4C1D"/>
    <w:rsid w:val="566947C0"/>
    <w:rsid w:val="58EF7B6B"/>
    <w:rsid w:val="5C0036E3"/>
    <w:rsid w:val="5CBA7D5A"/>
    <w:rsid w:val="5FCD49F2"/>
    <w:rsid w:val="60DF36C8"/>
    <w:rsid w:val="649F3AB1"/>
    <w:rsid w:val="661147EB"/>
    <w:rsid w:val="66D007B7"/>
    <w:rsid w:val="6709001F"/>
    <w:rsid w:val="6C713C0A"/>
    <w:rsid w:val="701904FC"/>
    <w:rsid w:val="71AF2A4C"/>
    <w:rsid w:val="731A1C9F"/>
    <w:rsid w:val="74DC624E"/>
    <w:rsid w:val="78223638"/>
    <w:rsid w:val="7930022C"/>
    <w:rsid w:val="79FF07CA"/>
    <w:rsid w:val="7A0039B8"/>
    <w:rsid w:val="7E396F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customStyle="1" w:styleId="8">
    <w:name w:val="页眉 Char"/>
    <w:basedOn w:val="7"/>
    <w:link w:val="3"/>
    <w:qFormat/>
    <w:uiPriority w:val="0"/>
    <w:rPr>
      <w:rFonts w:ascii="Times New Roman" w:hAnsi="Times New Roman" w:eastAsia="宋体" w:cs="Times New Roman"/>
      <w:sz w:val="18"/>
      <w:szCs w:val="18"/>
    </w:rPr>
  </w:style>
  <w:style w:type="character" w:customStyle="1" w:styleId="9">
    <w:name w:val="页脚 Char"/>
    <w:basedOn w:val="7"/>
    <w:link w:val="2"/>
    <w:qFormat/>
    <w:uiPriority w:val="0"/>
    <w:rPr>
      <w:rFonts w:ascii="Times New Roman" w:hAnsi="Times New Roman" w:eastAsia="宋体" w:cs="Times New Roman"/>
      <w:sz w:val="18"/>
      <w:szCs w:val="18"/>
    </w:rPr>
  </w:style>
  <w:style w:type="paragraph" w:customStyle="1" w:styleId="10">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28547-8C85-453A-8808-340AC3CD8E88}">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25</Pages>
  <Words>1873</Words>
  <Characters>10678</Characters>
  <Lines>88</Lines>
  <Paragraphs>25</Paragraphs>
  <TotalTime>1</TotalTime>
  <ScaleCrop>false</ScaleCrop>
  <LinksUpToDate>false</LinksUpToDate>
  <CharactersWithSpaces>12526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2020-01-23T08:17:00Z</dcterms:created>
  <dc:creator>guest</dc:creator>
  <cp:lastModifiedBy>张雪儿</cp:lastModifiedBy>
  <dcterms:modified xsi:type="dcterms:W3CDTF">2021-05-24T08:23:22Z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E3A0B81E47B0480A8B312677CBDE313B</vt:lpwstr>
  </property>
</Properties>
</file>