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84" w:rsidRDefault="007A557A" w:rsidP="00613A83">
      <w:pPr>
        <w:spacing w:beforeLines="50" w:before="156" w:line="360" w:lineRule="exact"/>
        <w:jc w:val="center"/>
        <w:rPr>
          <w:rFonts w:ascii="方正小标宋简体" w:eastAsia="方正小标宋简体"/>
          <w:sz w:val="32"/>
          <w:szCs w:val="32"/>
        </w:rPr>
      </w:pPr>
      <w:r>
        <w:rPr>
          <w:rFonts w:ascii="方正小标宋简体" w:eastAsia="方正小标宋简体" w:hint="eastAsia"/>
          <w:sz w:val="32"/>
          <w:szCs w:val="32"/>
        </w:rPr>
        <w:t>“亮”起来的</w:t>
      </w:r>
      <w:r w:rsidR="000F3ECB">
        <w:rPr>
          <w:rFonts w:ascii="方正小标宋简体" w:eastAsia="方正小标宋简体" w:hint="eastAsia"/>
          <w:sz w:val="32"/>
          <w:szCs w:val="32"/>
        </w:rPr>
        <w:t>京津冀</w:t>
      </w:r>
      <w:r w:rsidR="004B4D98">
        <w:rPr>
          <w:rFonts w:ascii="方正小标宋简体" w:eastAsia="方正小标宋简体" w:hint="eastAsia"/>
          <w:sz w:val="32"/>
          <w:szCs w:val="32"/>
        </w:rPr>
        <w:t>——</w:t>
      </w:r>
      <w:r w:rsidR="007512C1">
        <w:rPr>
          <w:rFonts w:ascii="方正小标宋简体" w:eastAsia="方正小标宋简体" w:hint="eastAsia"/>
          <w:sz w:val="32"/>
          <w:szCs w:val="32"/>
        </w:rPr>
        <w:t>2020年</w:t>
      </w:r>
      <w:r w:rsidR="00CC3B9E" w:rsidRPr="00F03804">
        <w:rPr>
          <w:rFonts w:ascii="方正小标宋简体" w:eastAsia="方正小标宋简体" w:hint="eastAsia"/>
          <w:sz w:val="32"/>
          <w:szCs w:val="32"/>
        </w:rPr>
        <w:t>1～4月</w:t>
      </w:r>
    </w:p>
    <w:p w:rsidR="007A557A" w:rsidRDefault="007512C1" w:rsidP="006E61E5">
      <w:pPr>
        <w:spacing w:beforeLines="50" w:before="156" w:line="280" w:lineRule="exact"/>
        <w:jc w:val="center"/>
        <w:rPr>
          <w:rFonts w:ascii="方正小标宋简体" w:eastAsia="方正小标宋简体"/>
          <w:sz w:val="32"/>
          <w:szCs w:val="32"/>
        </w:rPr>
      </w:pPr>
      <w:r>
        <w:rPr>
          <w:rFonts w:ascii="方正小标宋简体" w:eastAsia="方正小标宋简体" w:hint="eastAsia"/>
          <w:sz w:val="32"/>
          <w:szCs w:val="32"/>
        </w:rPr>
        <w:t>夜间灯光指数</w:t>
      </w:r>
      <w:r w:rsidRPr="009979D6">
        <w:rPr>
          <w:rFonts w:ascii="方正小标宋简体" w:eastAsia="方正小标宋简体" w:hint="eastAsia"/>
          <w:sz w:val="32"/>
          <w:szCs w:val="32"/>
        </w:rPr>
        <w:t>遥感监测</w:t>
      </w:r>
      <w:r>
        <w:rPr>
          <w:rFonts w:ascii="方正小标宋简体" w:eastAsia="方正小标宋简体" w:hint="eastAsia"/>
          <w:sz w:val="32"/>
          <w:szCs w:val="32"/>
        </w:rPr>
        <w:t>分析</w:t>
      </w:r>
    </w:p>
    <w:p w:rsidR="007A557A" w:rsidRDefault="007A557A" w:rsidP="006E61E5">
      <w:pPr>
        <w:spacing w:beforeLines="50" w:before="156" w:line="280" w:lineRule="exact"/>
        <w:jc w:val="center"/>
        <w:rPr>
          <w:rFonts w:ascii="宋体" w:eastAsia="宋体" w:hAnsi="宋体" w:cs="Times New Roman"/>
          <w:bCs/>
          <w:sz w:val="24"/>
          <w:szCs w:val="28"/>
        </w:rPr>
      </w:pPr>
      <w:r w:rsidRPr="009979D6">
        <w:rPr>
          <w:rFonts w:ascii="宋体" w:eastAsia="宋体" w:hAnsi="宋体" w:cs="Times New Roman" w:hint="eastAsia"/>
          <w:bCs/>
          <w:sz w:val="24"/>
          <w:szCs w:val="28"/>
        </w:rPr>
        <w:t>河北省生态气象和卫星遥感中心  河北省气象科学研究所</w:t>
      </w:r>
    </w:p>
    <w:p w:rsidR="00613A83" w:rsidRDefault="00613A83" w:rsidP="00613A83">
      <w:pPr>
        <w:spacing w:beforeLines="50" w:before="156" w:line="240" w:lineRule="exact"/>
        <w:jc w:val="center"/>
        <w:rPr>
          <w:rFonts w:ascii="宋体" w:eastAsia="宋体" w:hAnsi="宋体" w:cs="Times New Roman"/>
          <w:bCs/>
          <w:sz w:val="24"/>
          <w:szCs w:val="28"/>
        </w:rPr>
      </w:pPr>
    </w:p>
    <w:p w:rsidR="001017BB" w:rsidRPr="001017BB" w:rsidRDefault="001017BB" w:rsidP="001017BB">
      <w:pPr>
        <w:spacing w:line="420" w:lineRule="exact"/>
        <w:ind w:firstLineChars="200" w:firstLine="560"/>
        <w:rPr>
          <w:rFonts w:asciiTheme="minorEastAsia" w:hAnsiTheme="minorEastAsia" w:hint="eastAsia"/>
          <w:bCs/>
          <w:sz w:val="28"/>
          <w:szCs w:val="28"/>
        </w:rPr>
      </w:pPr>
      <w:r w:rsidRPr="001017BB">
        <w:rPr>
          <w:rFonts w:asciiTheme="minorEastAsia" w:hAnsiTheme="minorEastAsia" w:hint="eastAsia"/>
          <w:bCs/>
          <w:sz w:val="28"/>
          <w:szCs w:val="28"/>
        </w:rPr>
        <w:t>2020年1～2月，受新冠肺炎疫情形势影响，全国经济社会发展短期内遇到困难和挑战，疫情防控措施大大减少了人口车辆流动。3月份以来随着防控形势持续向好，各地生产生活秩序</w:t>
      </w:r>
      <w:bookmarkStart w:id="0" w:name="_GoBack"/>
      <w:bookmarkEnd w:id="0"/>
      <w:r w:rsidRPr="001017BB">
        <w:rPr>
          <w:rFonts w:asciiTheme="minorEastAsia" w:hAnsiTheme="minorEastAsia" w:hint="eastAsia"/>
          <w:bCs/>
          <w:sz w:val="28"/>
          <w:szCs w:val="28"/>
        </w:rPr>
        <w:t>稳步恢复，物流交通正在回归正常。从卫星遥感的夜间灯光数据这一特殊视角也监测到了疫情前后的变化情况，京津</w:t>
      </w:r>
      <w:proofErr w:type="gramStart"/>
      <w:r w:rsidRPr="001017BB">
        <w:rPr>
          <w:rFonts w:asciiTheme="minorEastAsia" w:hAnsiTheme="minorEastAsia" w:hint="eastAsia"/>
          <w:bCs/>
          <w:sz w:val="28"/>
          <w:szCs w:val="28"/>
        </w:rPr>
        <w:t>冀区域</w:t>
      </w:r>
      <w:proofErr w:type="gramEnd"/>
      <w:r w:rsidRPr="001017BB">
        <w:rPr>
          <w:rFonts w:asciiTheme="minorEastAsia" w:hAnsiTheme="minorEastAsia" w:hint="eastAsia"/>
          <w:bCs/>
          <w:sz w:val="28"/>
          <w:szCs w:val="28"/>
        </w:rPr>
        <w:t>正在“亮起来”。</w:t>
      </w:r>
    </w:p>
    <w:p w:rsidR="001017BB" w:rsidRPr="001017BB" w:rsidRDefault="001017BB" w:rsidP="001017BB">
      <w:pPr>
        <w:spacing w:line="420" w:lineRule="exact"/>
        <w:ind w:firstLineChars="200" w:firstLine="560"/>
        <w:rPr>
          <w:rFonts w:asciiTheme="minorEastAsia" w:hAnsiTheme="minorEastAsia" w:hint="eastAsia"/>
          <w:bCs/>
          <w:sz w:val="28"/>
          <w:szCs w:val="28"/>
        </w:rPr>
      </w:pPr>
      <w:r w:rsidRPr="001017BB">
        <w:rPr>
          <w:rFonts w:asciiTheme="minorEastAsia" w:hAnsiTheme="minorEastAsia" w:hint="eastAsia"/>
          <w:bCs/>
          <w:sz w:val="28"/>
          <w:szCs w:val="28"/>
        </w:rPr>
        <w:t>基于2020年1月3日、2月18日、3月14日和4月12日疫情前后时间的NPP-VIIRS卫星数据（图1-3），结合城镇用地数据，分析了京津</w:t>
      </w:r>
      <w:proofErr w:type="gramStart"/>
      <w:r w:rsidRPr="001017BB">
        <w:rPr>
          <w:rFonts w:asciiTheme="minorEastAsia" w:hAnsiTheme="minorEastAsia" w:hint="eastAsia"/>
          <w:bCs/>
          <w:sz w:val="28"/>
          <w:szCs w:val="28"/>
        </w:rPr>
        <w:t>冀区域</w:t>
      </w:r>
      <w:proofErr w:type="gramEnd"/>
      <w:r w:rsidRPr="001017BB">
        <w:rPr>
          <w:rFonts w:asciiTheme="minorEastAsia" w:hAnsiTheme="minorEastAsia" w:hint="eastAsia"/>
          <w:bCs/>
          <w:sz w:val="28"/>
          <w:szCs w:val="28"/>
        </w:rPr>
        <w:t>夜间灯光指数变化特征。结果表明：2月18日（疫情防控措施严格）京津</w:t>
      </w:r>
      <w:proofErr w:type="gramStart"/>
      <w:r w:rsidRPr="001017BB">
        <w:rPr>
          <w:rFonts w:asciiTheme="minorEastAsia" w:hAnsiTheme="minorEastAsia" w:hint="eastAsia"/>
          <w:bCs/>
          <w:sz w:val="28"/>
          <w:szCs w:val="28"/>
        </w:rPr>
        <w:t>冀区域</w:t>
      </w:r>
      <w:proofErr w:type="gramEnd"/>
      <w:r w:rsidRPr="001017BB">
        <w:rPr>
          <w:rFonts w:asciiTheme="minorEastAsia" w:hAnsiTheme="minorEastAsia" w:hint="eastAsia"/>
          <w:bCs/>
          <w:sz w:val="28"/>
          <w:szCs w:val="28"/>
        </w:rPr>
        <w:t>归一化夜间灯光指数仅为0.036，较疫情防控前（1月3日）降低16%，城市区归一化夜间灯光指数由0.328降为0.311；与2月18日相比，4月12日京津</w:t>
      </w:r>
      <w:proofErr w:type="gramStart"/>
      <w:r w:rsidRPr="001017BB">
        <w:rPr>
          <w:rFonts w:asciiTheme="minorEastAsia" w:hAnsiTheme="minorEastAsia" w:hint="eastAsia"/>
          <w:bCs/>
          <w:sz w:val="28"/>
          <w:szCs w:val="28"/>
        </w:rPr>
        <w:t>冀区域</w:t>
      </w:r>
      <w:proofErr w:type="gramEnd"/>
      <w:r w:rsidRPr="001017BB">
        <w:rPr>
          <w:rFonts w:asciiTheme="minorEastAsia" w:hAnsiTheme="minorEastAsia" w:hint="eastAsia"/>
          <w:bCs/>
          <w:sz w:val="28"/>
          <w:szCs w:val="28"/>
        </w:rPr>
        <w:t>归一化夜间灯光指数上升为0.051，增长了42%，逐渐恢复至疫情前水平。</w:t>
      </w:r>
    </w:p>
    <w:p w:rsidR="004F2CB0" w:rsidRPr="00613A83" w:rsidRDefault="001017BB" w:rsidP="001017BB">
      <w:pPr>
        <w:spacing w:line="420" w:lineRule="exact"/>
        <w:ind w:firstLineChars="200" w:firstLine="560"/>
        <w:rPr>
          <w:rFonts w:asciiTheme="minorEastAsia" w:hAnsiTheme="minorEastAsia"/>
          <w:bCs/>
          <w:sz w:val="28"/>
          <w:szCs w:val="28"/>
        </w:rPr>
      </w:pPr>
      <w:r w:rsidRPr="001017BB">
        <w:rPr>
          <w:rFonts w:asciiTheme="minorEastAsia" w:hAnsiTheme="minorEastAsia" w:hint="eastAsia"/>
          <w:bCs/>
          <w:sz w:val="28"/>
          <w:szCs w:val="28"/>
        </w:rPr>
        <w:t>2020年1</w:t>
      </w:r>
      <w:r w:rsidR="00CC3B9E" w:rsidRPr="001017BB">
        <w:rPr>
          <w:rFonts w:asciiTheme="minorEastAsia" w:hAnsiTheme="minorEastAsia" w:hint="eastAsia"/>
          <w:bCs/>
          <w:sz w:val="28"/>
          <w:szCs w:val="28"/>
        </w:rPr>
        <w:t>～</w:t>
      </w:r>
      <w:r w:rsidRPr="001017BB">
        <w:rPr>
          <w:rFonts w:asciiTheme="minorEastAsia" w:hAnsiTheme="minorEastAsia" w:hint="eastAsia"/>
          <w:bCs/>
          <w:sz w:val="28"/>
          <w:szCs w:val="28"/>
        </w:rPr>
        <w:t>4月京津</w:t>
      </w:r>
      <w:proofErr w:type="gramStart"/>
      <w:r w:rsidRPr="001017BB">
        <w:rPr>
          <w:rFonts w:asciiTheme="minorEastAsia" w:hAnsiTheme="minorEastAsia" w:hint="eastAsia"/>
          <w:bCs/>
          <w:sz w:val="28"/>
          <w:szCs w:val="28"/>
        </w:rPr>
        <w:t>冀区域</w:t>
      </w:r>
      <w:proofErr w:type="gramEnd"/>
      <w:r w:rsidRPr="001017BB">
        <w:rPr>
          <w:rFonts w:asciiTheme="minorEastAsia" w:hAnsiTheme="minorEastAsia" w:hint="eastAsia"/>
          <w:bCs/>
          <w:sz w:val="28"/>
          <w:szCs w:val="28"/>
        </w:rPr>
        <w:t>夜间灯光指数和面积经历了“高—低—高”的变化过程（图4-5），夜间灯光数据的时空变化表明了京津</w:t>
      </w:r>
      <w:proofErr w:type="gramStart"/>
      <w:r w:rsidRPr="001017BB">
        <w:rPr>
          <w:rFonts w:asciiTheme="minorEastAsia" w:hAnsiTheme="minorEastAsia" w:hint="eastAsia"/>
          <w:bCs/>
          <w:sz w:val="28"/>
          <w:szCs w:val="28"/>
        </w:rPr>
        <w:t>冀区域</w:t>
      </w:r>
      <w:proofErr w:type="gramEnd"/>
      <w:r w:rsidRPr="001017BB">
        <w:rPr>
          <w:rFonts w:asciiTheme="minorEastAsia" w:hAnsiTheme="minorEastAsia" w:hint="eastAsia"/>
          <w:bCs/>
          <w:sz w:val="28"/>
          <w:szCs w:val="28"/>
        </w:rPr>
        <w:t>社会经济活动正在趋于正常。</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4231"/>
      </w:tblGrid>
      <w:tr w:rsidR="00574A4E" w:rsidTr="00613A83">
        <w:trPr>
          <w:trHeight w:val="5115"/>
          <w:jc w:val="center"/>
        </w:trPr>
        <w:tc>
          <w:tcPr>
            <w:tcW w:w="4283" w:type="dxa"/>
          </w:tcPr>
          <w:p w:rsidR="00574A4E" w:rsidRDefault="00574A4E" w:rsidP="005C2E34">
            <w:pPr>
              <w:rPr>
                <w:rFonts w:asciiTheme="minorEastAsia" w:hAnsiTheme="minorEastAsia"/>
                <w:bCs/>
                <w:sz w:val="28"/>
                <w:szCs w:val="28"/>
              </w:rPr>
            </w:pPr>
            <w:r>
              <w:rPr>
                <w:rFonts w:asciiTheme="minorEastAsia" w:hAnsiTheme="minorEastAsia"/>
                <w:bCs/>
                <w:noProof/>
                <w:sz w:val="28"/>
                <w:szCs w:val="28"/>
              </w:rPr>
              <w:drawing>
                <wp:inline distT="0" distB="0" distL="0" distR="0" wp14:anchorId="27A3CADA" wp14:editId="51A9E409">
                  <wp:extent cx="2600325" cy="32099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年1月-2月夜间灯光指数对比.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00325" cy="3209925"/>
                          </a:xfrm>
                          <a:prstGeom prst="rect">
                            <a:avLst/>
                          </a:prstGeom>
                          <a:ln>
                            <a:noFill/>
                          </a:ln>
                          <a:extLst>
                            <a:ext uri="{53640926-AAD7-44D8-BBD7-CCE9431645EC}">
                              <a14:shadowObscured xmlns:a14="http://schemas.microsoft.com/office/drawing/2010/main"/>
                            </a:ext>
                          </a:extLst>
                        </pic:spPr>
                      </pic:pic>
                    </a:graphicData>
                  </a:graphic>
                </wp:inline>
              </w:drawing>
            </w:r>
          </w:p>
        </w:tc>
        <w:tc>
          <w:tcPr>
            <w:tcW w:w="4239" w:type="dxa"/>
          </w:tcPr>
          <w:p w:rsidR="00574A4E" w:rsidRDefault="00574A4E" w:rsidP="005C2E34">
            <w:pPr>
              <w:rPr>
                <w:rFonts w:asciiTheme="minorEastAsia" w:hAnsiTheme="minorEastAsia"/>
                <w:bCs/>
                <w:sz w:val="28"/>
                <w:szCs w:val="28"/>
              </w:rPr>
            </w:pPr>
            <w:r>
              <w:rPr>
                <w:rFonts w:asciiTheme="minorEastAsia" w:hAnsiTheme="minorEastAsia"/>
                <w:bCs/>
                <w:noProof/>
                <w:sz w:val="28"/>
                <w:szCs w:val="28"/>
              </w:rPr>
              <w:drawing>
                <wp:inline distT="0" distB="0" distL="0" distR="0" wp14:anchorId="7D9E1B1C" wp14:editId="35830C51">
                  <wp:extent cx="2571750" cy="3314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年2月-4月夜间灯光指数对比.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71750" cy="3314700"/>
                          </a:xfrm>
                          <a:prstGeom prst="rect">
                            <a:avLst/>
                          </a:prstGeom>
                          <a:ln>
                            <a:noFill/>
                          </a:ln>
                          <a:extLst>
                            <a:ext uri="{53640926-AAD7-44D8-BBD7-CCE9431645EC}">
                              <a14:shadowObscured xmlns:a14="http://schemas.microsoft.com/office/drawing/2010/main"/>
                            </a:ext>
                          </a:extLst>
                        </pic:spPr>
                      </pic:pic>
                    </a:graphicData>
                  </a:graphic>
                </wp:inline>
              </w:drawing>
            </w:r>
          </w:p>
        </w:tc>
      </w:tr>
      <w:tr w:rsidR="00574A4E" w:rsidTr="00613A83">
        <w:trPr>
          <w:trHeight w:val="513"/>
          <w:jc w:val="center"/>
        </w:trPr>
        <w:tc>
          <w:tcPr>
            <w:tcW w:w="4283" w:type="dxa"/>
            <w:vAlign w:val="center"/>
          </w:tcPr>
          <w:p w:rsidR="00574A4E" w:rsidRDefault="00C32254" w:rsidP="00613A83">
            <w:pPr>
              <w:spacing w:line="400" w:lineRule="exact"/>
              <w:jc w:val="center"/>
              <w:rPr>
                <w:rFonts w:asciiTheme="minorEastAsia" w:hAnsiTheme="minorEastAsia"/>
                <w:bCs/>
                <w:sz w:val="28"/>
                <w:szCs w:val="28"/>
              </w:rPr>
            </w:pPr>
            <w:r>
              <w:rPr>
                <w:rFonts w:asciiTheme="minorEastAsia" w:hAnsiTheme="minorEastAsia" w:hint="eastAsia"/>
                <w:bCs/>
                <w:sz w:val="28"/>
                <w:szCs w:val="28"/>
              </w:rPr>
              <w:t>图1</w:t>
            </w:r>
            <w:r w:rsidRPr="00C32254">
              <w:rPr>
                <w:rFonts w:asciiTheme="minorEastAsia" w:hAnsiTheme="minorEastAsia" w:hint="eastAsia"/>
                <w:bCs/>
                <w:sz w:val="28"/>
                <w:szCs w:val="28"/>
              </w:rPr>
              <w:t>灯光指数对比</w:t>
            </w:r>
            <w:r w:rsidR="00613A83">
              <w:rPr>
                <w:rFonts w:asciiTheme="minorEastAsia" w:hAnsiTheme="minorEastAsia" w:hint="eastAsia"/>
                <w:bCs/>
                <w:sz w:val="28"/>
                <w:szCs w:val="28"/>
              </w:rPr>
              <w:t>图（1月、2月）</w:t>
            </w:r>
          </w:p>
        </w:tc>
        <w:tc>
          <w:tcPr>
            <w:tcW w:w="4239" w:type="dxa"/>
            <w:vAlign w:val="center"/>
          </w:tcPr>
          <w:p w:rsidR="00574A4E" w:rsidRDefault="00C32254" w:rsidP="00613A83">
            <w:pPr>
              <w:spacing w:line="400" w:lineRule="exact"/>
              <w:jc w:val="center"/>
              <w:rPr>
                <w:rFonts w:asciiTheme="minorEastAsia" w:hAnsiTheme="minorEastAsia"/>
                <w:bCs/>
                <w:sz w:val="28"/>
                <w:szCs w:val="28"/>
              </w:rPr>
            </w:pPr>
            <w:r>
              <w:rPr>
                <w:rFonts w:asciiTheme="minorEastAsia" w:hAnsiTheme="minorEastAsia" w:hint="eastAsia"/>
                <w:bCs/>
                <w:sz w:val="28"/>
                <w:szCs w:val="28"/>
              </w:rPr>
              <w:t>图2</w:t>
            </w:r>
            <w:r w:rsidRPr="00C32254">
              <w:rPr>
                <w:rFonts w:asciiTheme="minorEastAsia" w:hAnsiTheme="minorEastAsia" w:hint="eastAsia"/>
                <w:bCs/>
                <w:sz w:val="28"/>
                <w:szCs w:val="28"/>
              </w:rPr>
              <w:t>灯光指数对比</w:t>
            </w:r>
            <w:r w:rsidR="00613A83">
              <w:rPr>
                <w:rFonts w:asciiTheme="minorEastAsia" w:hAnsiTheme="minorEastAsia" w:hint="eastAsia"/>
                <w:bCs/>
                <w:sz w:val="28"/>
                <w:szCs w:val="28"/>
              </w:rPr>
              <w:t>（2月、4月）</w:t>
            </w:r>
          </w:p>
        </w:tc>
      </w:tr>
      <w:tr w:rsidR="00574A4E" w:rsidTr="00613A83">
        <w:trPr>
          <w:trHeight w:val="4962"/>
          <w:jc w:val="center"/>
        </w:trPr>
        <w:tc>
          <w:tcPr>
            <w:tcW w:w="8522" w:type="dxa"/>
            <w:gridSpan w:val="2"/>
          </w:tcPr>
          <w:p w:rsidR="00574A4E" w:rsidRDefault="00C32254" w:rsidP="00C32254">
            <w:pPr>
              <w:jc w:val="center"/>
              <w:rPr>
                <w:rFonts w:asciiTheme="minorEastAsia" w:hAnsiTheme="minorEastAsia"/>
                <w:bCs/>
                <w:sz w:val="28"/>
                <w:szCs w:val="28"/>
              </w:rPr>
            </w:pPr>
            <w:r>
              <w:rPr>
                <w:rFonts w:asciiTheme="minorEastAsia" w:hAnsiTheme="minorEastAsia"/>
                <w:bCs/>
                <w:noProof/>
                <w:sz w:val="28"/>
                <w:szCs w:val="28"/>
              </w:rPr>
              <w:lastRenderedPageBreak/>
              <w:drawing>
                <wp:inline distT="0" distB="0" distL="0" distR="0" wp14:anchorId="1A117A99" wp14:editId="2B990D22">
                  <wp:extent cx="2981325" cy="31527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12河北灯光指数.jpg"/>
                          <pic:cNvPicPr/>
                        </pic:nvPicPr>
                        <pic:blipFill rotWithShape="1">
                          <a:blip r:embed="rId10" cstate="print">
                            <a:extLst>
                              <a:ext uri="{28A0092B-C50C-407E-A947-70E740481C1C}">
                                <a14:useLocalDpi xmlns:a14="http://schemas.microsoft.com/office/drawing/2010/main" val="0"/>
                              </a:ext>
                            </a:extLst>
                          </a:blip>
                          <a:srcRect l="2551" t="2403" r="2229" b="2198"/>
                          <a:stretch/>
                        </pic:blipFill>
                        <pic:spPr bwMode="auto">
                          <a:xfrm>
                            <a:off x="0" y="0"/>
                            <a:ext cx="2981325" cy="3152775"/>
                          </a:xfrm>
                          <a:prstGeom prst="rect">
                            <a:avLst/>
                          </a:prstGeom>
                          <a:ln>
                            <a:noFill/>
                          </a:ln>
                          <a:extLst>
                            <a:ext uri="{53640926-AAD7-44D8-BBD7-CCE9431645EC}">
                              <a14:shadowObscured xmlns:a14="http://schemas.microsoft.com/office/drawing/2010/main"/>
                            </a:ext>
                          </a:extLst>
                        </pic:spPr>
                      </pic:pic>
                    </a:graphicData>
                  </a:graphic>
                </wp:inline>
              </w:drawing>
            </w:r>
          </w:p>
        </w:tc>
      </w:tr>
      <w:tr w:rsidR="00C32254" w:rsidTr="002E5FFE">
        <w:trPr>
          <w:jc w:val="center"/>
        </w:trPr>
        <w:tc>
          <w:tcPr>
            <w:tcW w:w="8522" w:type="dxa"/>
            <w:gridSpan w:val="2"/>
          </w:tcPr>
          <w:p w:rsidR="00C32254" w:rsidRDefault="00467781" w:rsidP="00613A83">
            <w:pPr>
              <w:spacing w:line="400" w:lineRule="exact"/>
              <w:jc w:val="center"/>
              <w:rPr>
                <w:rFonts w:asciiTheme="minorEastAsia" w:hAnsiTheme="minorEastAsia"/>
                <w:bCs/>
                <w:sz w:val="28"/>
                <w:szCs w:val="28"/>
              </w:rPr>
            </w:pPr>
            <w:r>
              <w:rPr>
                <w:rFonts w:asciiTheme="minorEastAsia" w:hAnsiTheme="minorEastAsia" w:hint="eastAsia"/>
                <w:bCs/>
                <w:sz w:val="28"/>
                <w:szCs w:val="28"/>
              </w:rPr>
              <w:t>图3京津</w:t>
            </w:r>
            <w:proofErr w:type="gramStart"/>
            <w:r>
              <w:rPr>
                <w:rFonts w:asciiTheme="minorEastAsia" w:hAnsiTheme="minorEastAsia" w:hint="eastAsia"/>
                <w:bCs/>
                <w:sz w:val="28"/>
                <w:szCs w:val="28"/>
              </w:rPr>
              <w:t>冀</w:t>
            </w:r>
            <w:r w:rsidR="002A2034">
              <w:rPr>
                <w:rFonts w:asciiTheme="minorEastAsia" w:hAnsiTheme="minorEastAsia" w:hint="eastAsia"/>
                <w:bCs/>
                <w:sz w:val="28"/>
                <w:szCs w:val="28"/>
              </w:rPr>
              <w:t>区域</w:t>
            </w:r>
            <w:proofErr w:type="gramEnd"/>
            <w:r w:rsidRPr="00C32254">
              <w:rPr>
                <w:rFonts w:asciiTheme="minorEastAsia" w:hAnsiTheme="minorEastAsia" w:hint="eastAsia"/>
                <w:bCs/>
                <w:sz w:val="28"/>
                <w:szCs w:val="28"/>
              </w:rPr>
              <w:t>夜间灯光指数</w:t>
            </w:r>
            <w:r w:rsidR="00613A83">
              <w:rPr>
                <w:rFonts w:asciiTheme="minorEastAsia" w:hAnsiTheme="minorEastAsia" w:hint="eastAsia"/>
                <w:bCs/>
                <w:sz w:val="28"/>
                <w:szCs w:val="28"/>
              </w:rPr>
              <w:t>（4月12日）</w:t>
            </w:r>
          </w:p>
        </w:tc>
      </w:tr>
      <w:tr w:rsidR="00C32254" w:rsidTr="00A47FBC">
        <w:trPr>
          <w:jc w:val="center"/>
        </w:trPr>
        <w:tc>
          <w:tcPr>
            <w:tcW w:w="8522" w:type="dxa"/>
            <w:gridSpan w:val="2"/>
          </w:tcPr>
          <w:p w:rsidR="00C32254" w:rsidRDefault="00951E48" w:rsidP="005C2E34">
            <w:pPr>
              <w:rPr>
                <w:rFonts w:asciiTheme="minorEastAsia" w:hAnsiTheme="minorEastAsia"/>
                <w:bCs/>
                <w:sz w:val="28"/>
                <w:szCs w:val="28"/>
              </w:rPr>
            </w:pPr>
            <w:r>
              <w:rPr>
                <w:noProof/>
              </w:rPr>
              <w:drawing>
                <wp:inline distT="0" distB="0" distL="0" distR="0" wp14:anchorId="3A5DD719" wp14:editId="3D11A636">
                  <wp:extent cx="5534025" cy="257175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574A4E" w:rsidTr="002E5FFE">
        <w:trPr>
          <w:jc w:val="center"/>
        </w:trPr>
        <w:tc>
          <w:tcPr>
            <w:tcW w:w="8522" w:type="dxa"/>
            <w:gridSpan w:val="2"/>
          </w:tcPr>
          <w:p w:rsidR="00574A4E" w:rsidRDefault="00467781" w:rsidP="002E5FFE">
            <w:pPr>
              <w:spacing w:line="400" w:lineRule="exact"/>
              <w:jc w:val="center"/>
              <w:rPr>
                <w:rFonts w:asciiTheme="minorEastAsia" w:hAnsiTheme="minorEastAsia"/>
                <w:bCs/>
                <w:sz w:val="28"/>
                <w:szCs w:val="28"/>
              </w:rPr>
            </w:pPr>
            <w:r>
              <w:rPr>
                <w:rFonts w:asciiTheme="minorEastAsia" w:hAnsiTheme="minorEastAsia" w:hint="eastAsia"/>
                <w:bCs/>
                <w:sz w:val="28"/>
                <w:szCs w:val="28"/>
              </w:rPr>
              <w:t>图4 疫情期间京津</w:t>
            </w:r>
            <w:proofErr w:type="gramStart"/>
            <w:r>
              <w:rPr>
                <w:rFonts w:asciiTheme="minorEastAsia" w:hAnsiTheme="minorEastAsia" w:hint="eastAsia"/>
                <w:bCs/>
                <w:sz w:val="28"/>
                <w:szCs w:val="28"/>
              </w:rPr>
              <w:t>冀</w:t>
            </w:r>
            <w:r w:rsidR="002A2034">
              <w:rPr>
                <w:rFonts w:asciiTheme="minorEastAsia" w:hAnsiTheme="minorEastAsia" w:hint="eastAsia"/>
                <w:bCs/>
                <w:sz w:val="28"/>
                <w:szCs w:val="28"/>
              </w:rPr>
              <w:t>区域</w:t>
            </w:r>
            <w:proofErr w:type="gramEnd"/>
            <w:r w:rsidRPr="00C32254">
              <w:rPr>
                <w:rFonts w:asciiTheme="minorEastAsia" w:hAnsiTheme="minorEastAsia" w:hint="eastAsia"/>
                <w:bCs/>
                <w:sz w:val="28"/>
                <w:szCs w:val="28"/>
              </w:rPr>
              <w:t>夜间灯光指数</w:t>
            </w:r>
            <w:r>
              <w:rPr>
                <w:rFonts w:asciiTheme="minorEastAsia" w:hAnsiTheme="minorEastAsia" w:hint="eastAsia"/>
                <w:bCs/>
                <w:sz w:val="28"/>
                <w:szCs w:val="28"/>
              </w:rPr>
              <w:t>变化</w:t>
            </w:r>
          </w:p>
        </w:tc>
      </w:tr>
      <w:tr w:rsidR="00574A4E" w:rsidTr="002E5FFE">
        <w:trPr>
          <w:jc w:val="center"/>
        </w:trPr>
        <w:tc>
          <w:tcPr>
            <w:tcW w:w="8522" w:type="dxa"/>
            <w:gridSpan w:val="2"/>
          </w:tcPr>
          <w:p w:rsidR="00574A4E" w:rsidRDefault="00951E48" w:rsidP="005C2E34">
            <w:pPr>
              <w:rPr>
                <w:rFonts w:asciiTheme="minorEastAsia" w:hAnsiTheme="minorEastAsia"/>
                <w:bCs/>
                <w:sz w:val="28"/>
                <w:szCs w:val="28"/>
              </w:rPr>
            </w:pPr>
            <w:r>
              <w:rPr>
                <w:noProof/>
              </w:rPr>
              <w:drawing>
                <wp:inline distT="0" distB="0" distL="0" distR="0" wp14:anchorId="657B46F4" wp14:editId="455DF314">
                  <wp:extent cx="5314950" cy="215265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74A4E" w:rsidTr="002E5FFE">
        <w:trPr>
          <w:jc w:val="center"/>
        </w:trPr>
        <w:tc>
          <w:tcPr>
            <w:tcW w:w="8522" w:type="dxa"/>
            <w:gridSpan w:val="2"/>
          </w:tcPr>
          <w:p w:rsidR="00574A4E" w:rsidRDefault="00467781" w:rsidP="002E5FFE">
            <w:pPr>
              <w:spacing w:line="400" w:lineRule="exact"/>
              <w:jc w:val="center"/>
              <w:rPr>
                <w:rFonts w:asciiTheme="minorEastAsia" w:hAnsiTheme="minorEastAsia"/>
                <w:bCs/>
                <w:sz w:val="28"/>
                <w:szCs w:val="28"/>
              </w:rPr>
            </w:pPr>
            <w:r>
              <w:rPr>
                <w:rFonts w:asciiTheme="minorEastAsia" w:hAnsiTheme="minorEastAsia" w:hint="eastAsia"/>
                <w:bCs/>
                <w:sz w:val="28"/>
                <w:szCs w:val="28"/>
              </w:rPr>
              <w:t>图5 疫情期间京津</w:t>
            </w:r>
            <w:proofErr w:type="gramStart"/>
            <w:r>
              <w:rPr>
                <w:rFonts w:asciiTheme="minorEastAsia" w:hAnsiTheme="minorEastAsia" w:hint="eastAsia"/>
                <w:bCs/>
                <w:sz w:val="28"/>
                <w:szCs w:val="28"/>
              </w:rPr>
              <w:t>冀</w:t>
            </w:r>
            <w:r w:rsidR="002A2034">
              <w:rPr>
                <w:rFonts w:asciiTheme="minorEastAsia" w:hAnsiTheme="minorEastAsia" w:hint="eastAsia"/>
                <w:bCs/>
                <w:sz w:val="28"/>
                <w:szCs w:val="28"/>
              </w:rPr>
              <w:t>区域</w:t>
            </w:r>
            <w:proofErr w:type="gramEnd"/>
            <w:r w:rsidRPr="00C32254">
              <w:rPr>
                <w:rFonts w:asciiTheme="minorEastAsia" w:hAnsiTheme="minorEastAsia" w:hint="eastAsia"/>
                <w:bCs/>
                <w:sz w:val="28"/>
                <w:szCs w:val="28"/>
              </w:rPr>
              <w:t>夜间灯光</w:t>
            </w:r>
            <w:r w:rsidR="00F47984">
              <w:rPr>
                <w:rFonts w:asciiTheme="minorEastAsia" w:hAnsiTheme="minorEastAsia" w:hint="eastAsia"/>
                <w:bCs/>
                <w:sz w:val="28"/>
                <w:szCs w:val="28"/>
              </w:rPr>
              <w:t>面积占比</w:t>
            </w:r>
          </w:p>
        </w:tc>
      </w:tr>
    </w:tbl>
    <w:p w:rsidR="00574A4E" w:rsidRPr="000A2227" w:rsidRDefault="00574A4E" w:rsidP="00613A83">
      <w:pPr>
        <w:rPr>
          <w:rFonts w:asciiTheme="minorEastAsia" w:hAnsiTheme="minorEastAsia"/>
          <w:bCs/>
          <w:sz w:val="28"/>
          <w:szCs w:val="28"/>
        </w:rPr>
      </w:pPr>
    </w:p>
    <w:sectPr w:rsidR="00574A4E" w:rsidRPr="000A22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6C" w:rsidRDefault="0098076C" w:rsidP="007A557A">
      <w:r>
        <w:separator/>
      </w:r>
    </w:p>
  </w:endnote>
  <w:endnote w:type="continuationSeparator" w:id="0">
    <w:p w:rsidR="0098076C" w:rsidRDefault="0098076C" w:rsidP="007A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6C" w:rsidRDefault="0098076C" w:rsidP="007A557A">
      <w:r>
        <w:separator/>
      </w:r>
    </w:p>
  </w:footnote>
  <w:footnote w:type="continuationSeparator" w:id="0">
    <w:p w:rsidR="0098076C" w:rsidRDefault="0098076C" w:rsidP="007A5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3A"/>
    <w:rsid w:val="000217AF"/>
    <w:rsid w:val="000A2227"/>
    <w:rsid w:val="000B6065"/>
    <w:rsid w:val="000E126D"/>
    <w:rsid w:val="000F3ECB"/>
    <w:rsid w:val="001017BB"/>
    <w:rsid w:val="00126268"/>
    <w:rsid w:val="00156921"/>
    <w:rsid w:val="001722F5"/>
    <w:rsid w:val="002970C9"/>
    <w:rsid w:val="002A2034"/>
    <w:rsid w:val="002E5FFE"/>
    <w:rsid w:val="002F4024"/>
    <w:rsid w:val="003041F8"/>
    <w:rsid w:val="00324226"/>
    <w:rsid w:val="00331B7E"/>
    <w:rsid w:val="0036676F"/>
    <w:rsid w:val="003876D4"/>
    <w:rsid w:val="00407244"/>
    <w:rsid w:val="00414EC7"/>
    <w:rsid w:val="0043154F"/>
    <w:rsid w:val="00445443"/>
    <w:rsid w:val="00467781"/>
    <w:rsid w:val="004835AB"/>
    <w:rsid w:val="004B4D98"/>
    <w:rsid w:val="004C148A"/>
    <w:rsid w:val="004F2CB0"/>
    <w:rsid w:val="00505F7A"/>
    <w:rsid w:val="00574A4E"/>
    <w:rsid w:val="005C2E34"/>
    <w:rsid w:val="00613A83"/>
    <w:rsid w:val="00644BBF"/>
    <w:rsid w:val="006E61E5"/>
    <w:rsid w:val="00724FB0"/>
    <w:rsid w:val="00727D6F"/>
    <w:rsid w:val="007512C1"/>
    <w:rsid w:val="00772ADC"/>
    <w:rsid w:val="007A3EBD"/>
    <w:rsid w:val="007A557A"/>
    <w:rsid w:val="00810CAE"/>
    <w:rsid w:val="008F40E1"/>
    <w:rsid w:val="00913DE1"/>
    <w:rsid w:val="00951E48"/>
    <w:rsid w:val="0098076C"/>
    <w:rsid w:val="00990C1A"/>
    <w:rsid w:val="009A4E06"/>
    <w:rsid w:val="009B49A2"/>
    <w:rsid w:val="009E75B3"/>
    <w:rsid w:val="009E7E84"/>
    <w:rsid w:val="009F4501"/>
    <w:rsid w:val="00A47FBC"/>
    <w:rsid w:val="00B11308"/>
    <w:rsid w:val="00B3077F"/>
    <w:rsid w:val="00B535F4"/>
    <w:rsid w:val="00B634B7"/>
    <w:rsid w:val="00B645EB"/>
    <w:rsid w:val="00BC0F7E"/>
    <w:rsid w:val="00C32254"/>
    <w:rsid w:val="00C34B93"/>
    <w:rsid w:val="00CB2B79"/>
    <w:rsid w:val="00CC3B9E"/>
    <w:rsid w:val="00CC4970"/>
    <w:rsid w:val="00D131E4"/>
    <w:rsid w:val="00D24681"/>
    <w:rsid w:val="00DA6B32"/>
    <w:rsid w:val="00DB62BE"/>
    <w:rsid w:val="00DE245C"/>
    <w:rsid w:val="00E42D50"/>
    <w:rsid w:val="00E53D05"/>
    <w:rsid w:val="00E63264"/>
    <w:rsid w:val="00E6723A"/>
    <w:rsid w:val="00EC03E3"/>
    <w:rsid w:val="00EC7A24"/>
    <w:rsid w:val="00F03804"/>
    <w:rsid w:val="00F1436B"/>
    <w:rsid w:val="00F47984"/>
    <w:rsid w:val="00F933ED"/>
    <w:rsid w:val="00F963C9"/>
    <w:rsid w:val="00FB12CE"/>
    <w:rsid w:val="00FE4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5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557A"/>
    <w:rPr>
      <w:sz w:val="18"/>
      <w:szCs w:val="18"/>
    </w:rPr>
  </w:style>
  <w:style w:type="paragraph" w:styleId="a4">
    <w:name w:val="footer"/>
    <w:basedOn w:val="a"/>
    <w:link w:val="Char0"/>
    <w:uiPriority w:val="99"/>
    <w:unhideWhenUsed/>
    <w:rsid w:val="007A557A"/>
    <w:pPr>
      <w:tabs>
        <w:tab w:val="center" w:pos="4153"/>
        <w:tab w:val="right" w:pos="8306"/>
      </w:tabs>
      <w:snapToGrid w:val="0"/>
      <w:jc w:val="left"/>
    </w:pPr>
    <w:rPr>
      <w:sz w:val="18"/>
      <w:szCs w:val="18"/>
    </w:rPr>
  </w:style>
  <w:style w:type="character" w:customStyle="1" w:styleId="Char0">
    <w:name w:val="页脚 Char"/>
    <w:basedOn w:val="a0"/>
    <w:link w:val="a4"/>
    <w:uiPriority w:val="99"/>
    <w:rsid w:val="007A557A"/>
    <w:rPr>
      <w:sz w:val="18"/>
      <w:szCs w:val="18"/>
    </w:rPr>
  </w:style>
  <w:style w:type="table" w:styleId="a5">
    <w:name w:val="Table Grid"/>
    <w:basedOn w:val="a1"/>
    <w:uiPriority w:val="59"/>
    <w:rsid w:val="00B6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F3ECB"/>
    <w:rPr>
      <w:sz w:val="18"/>
      <w:szCs w:val="18"/>
    </w:rPr>
  </w:style>
  <w:style w:type="character" w:customStyle="1" w:styleId="Char1">
    <w:name w:val="批注框文本 Char"/>
    <w:basedOn w:val="a0"/>
    <w:link w:val="a6"/>
    <w:uiPriority w:val="99"/>
    <w:semiHidden/>
    <w:rsid w:val="000F3E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5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557A"/>
    <w:rPr>
      <w:sz w:val="18"/>
      <w:szCs w:val="18"/>
    </w:rPr>
  </w:style>
  <w:style w:type="paragraph" w:styleId="a4">
    <w:name w:val="footer"/>
    <w:basedOn w:val="a"/>
    <w:link w:val="Char0"/>
    <w:uiPriority w:val="99"/>
    <w:unhideWhenUsed/>
    <w:rsid w:val="007A557A"/>
    <w:pPr>
      <w:tabs>
        <w:tab w:val="center" w:pos="4153"/>
        <w:tab w:val="right" w:pos="8306"/>
      </w:tabs>
      <w:snapToGrid w:val="0"/>
      <w:jc w:val="left"/>
    </w:pPr>
    <w:rPr>
      <w:sz w:val="18"/>
      <w:szCs w:val="18"/>
    </w:rPr>
  </w:style>
  <w:style w:type="character" w:customStyle="1" w:styleId="Char0">
    <w:name w:val="页脚 Char"/>
    <w:basedOn w:val="a0"/>
    <w:link w:val="a4"/>
    <w:uiPriority w:val="99"/>
    <w:rsid w:val="007A557A"/>
    <w:rPr>
      <w:sz w:val="18"/>
      <w:szCs w:val="18"/>
    </w:rPr>
  </w:style>
  <w:style w:type="table" w:styleId="a5">
    <w:name w:val="Table Grid"/>
    <w:basedOn w:val="a1"/>
    <w:uiPriority w:val="59"/>
    <w:rsid w:val="00B6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F3ECB"/>
    <w:rPr>
      <w:sz w:val="18"/>
      <w:szCs w:val="18"/>
    </w:rPr>
  </w:style>
  <w:style w:type="character" w:customStyle="1" w:styleId="Char1">
    <w:name w:val="批注框文本 Char"/>
    <w:basedOn w:val="a0"/>
    <w:link w:val="a6"/>
    <w:uiPriority w:val="99"/>
    <w:semiHidden/>
    <w:rsid w:val="000F3E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277777777778"/>
          <c:y val="0.05"/>
          <c:w val="0.7382519130718096"/>
          <c:h val="0.82787037037037003"/>
        </c:manualLayout>
      </c:layout>
      <c:barChart>
        <c:barDir val="col"/>
        <c:grouping val="clustered"/>
        <c:varyColors val="0"/>
        <c:ser>
          <c:idx val="0"/>
          <c:order val="0"/>
          <c:tx>
            <c:strRef>
              <c:f>Sheet1!$H$1</c:f>
              <c:strCache>
                <c:ptCount val="1"/>
                <c:pt idx="0">
                  <c:v>京津冀平均值</c:v>
                </c:pt>
              </c:strCache>
            </c:strRef>
          </c:tx>
          <c:spPr>
            <a:solidFill>
              <a:schemeClr val="accent1"/>
            </a:solidFill>
            <a:ln>
              <a:noFill/>
            </a:ln>
            <a:effectLst/>
          </c:spPr>
          <c:invertIfNegative val="0"/>
          <c:cat>
            <c:strRef>
              <c:f>Sheet1!$B$2:$B$5</c:f>
              <c:strCache>
                <c:ptCount val="4"/>
                <c:pt idx="0">
                  <c:v>1月3日</c:v>
                </c:pt>
                <c:pt idx="1">
                  <c:v>2月18日</c:v>
                </c:pt>
                <c:pt idx="2">
                  <c:v>3月14日</c:v>
                </c:pt>
                <c:pt idx="3">
                  <c:v>4月12日</c:v>
                </c:pt>
              </c:strCache>
            </c:strRef>
          </c:cat>
          <c:val>
            <c:numRef>
              <c:f>Sheet1!$H$2:$H$5</c:f>
              <c:numCache>
                <c:formatCode>General</c:formatCode>
                <c:ptCount val="4"/>
                <c:pt idx="0">
                  <c:v>4.2999999999999997E-2</c:v>
                </c:pt>
                <c:pt idx="1">
                  <c:v>3.5999999999999997E-2</c:v>
                </c:pt>
                <c:pt idx="2">
                  <c:v>4.8000000000000001E-2</c:v>
                </c:pt>
                <c:pt idx="3">
                  <c:v>5.0999999999999997E-2</c:v>
                </c:pt>
              </c:numCache>
            </c:numRef>
          </c:val>
        </c:ser>
        <c:dLbls>
          <c:showLegendKey val="0"/>
          <c:showVal val="0"/>
          <c:showCatName val="0"/>
          <c:showSerName val="0"/>
          <c:showPercent val="0"/>
          <c:showBubbleSize val="0"/>
        </c:dLbls>
        <c:gapWidth val="219"/>
        <c:overlap val="-27"/>
        <c:axId val="157619712"/>
        <c:axId val="128709696"/>
      </c:barChart>
      <c:lineChart>
        <c:grouping val="standard"/>
        <c:varyColors val="0"/>
        <c:ser>
          <c:idx val="1"/>
          <c:order val="1"/>
          <c:tx>
            <c:strRef>
              <c:f>Sheet1!$I$1</c:f>
              <c:strCache>
                <c:ptCount val="1"/>
                <c:pt idx="0">
                  <c:v>城区平均值</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Sheet1!$B$2:$B$5</c:f>
              <c:strCache>
                <c:ptCount val="4"/>
                <c:pt idx="0">
                  <c:v>1月3日</c:v>
                </c:pt>
                <c:pt idx="1">
                  <c:v>2月18日</c:v>
                </c:pt>
                <c:pt idx="2">
                  <c:v>3月14日</c:v>
                </c:pt>
                <c:pt idx="3">
                  <c:v>4月12日</c:v>
                </c:pt>
              </c:strCache>
            </c:strRef>
          </c:cat>
          <c:val>
            <c:numRef>
              <c:f>Sheet1!$I$2:$I$5</c:f>
              <c:numCache>
                <c:formatCode>General</c:formatCode>
                <c:ptCount val="4"/>
                <c:pt idx="0">
                  <c:v>0.32800000000000001</c:v>
                </c:pt>
                <c:pt idx="1">
                  <c:v>0.311</c:v>
                </c:pt>
                <c:pt idx="2">
                  <c:v>0.315</c:v>
                </c:pt>
                <c:pt idx="3">
                  <c:v>0.32</c:v>
                </c:pt>
              </c:numCache>
            </c:numRef>
          </c:val>
          <c:smooth val="0"/>
        </c:ser>
        <c:dLbls>
          <c:showLegendKey val="0"/>
          <c:showVal val="0"/>
          <c:showCatName val="0"/>
          <c:showSerName val="0"/>
          <c:showPercent val="0"/>
          <c:showBubbleSize val="0"/>
        </c:dLbls>
        <c:marker val="1"/>
        <c:smooth val="0"/>
        <c:axId val="177812992"/>
        <c:axId val="128704512"/>
      </c:lineChart>
      <c:catAx>
        <c:axId val="157619712"/>
        <c:scaling>
          <c:orientation val="minMax"/>
        </c:scaling>
        <c:delete val="0"/>
        <c:axPos val="b"/>
        <c:numFmt formatCode="@" sourceLinked="1"/>
        <c:majorTickMark val="in"/>
        <c:minorTickMark val="none"/>
        <c:tickLblPos val="nextTo"/>
        <c:spPr>
          <a:noFill/>
          <a:ln w="6350" cap="flat" cmpd="sng" algn="ctr">
            <a:solidFill>
              <a:schemeClr val="tx1"/>
            </a:solidFill>
            <a:prstDash val="solid"/>
            <a:round/>
          </a:ln>
          <a:effectLst/>
        </c:spPr>
        <c:txPr>
          <a:bodyPr rot="-60000000" vert="horz"/>
          <a:lstStyle/>
          <a:p>
            <a:pPr>
              <a:defRPr/>
            </a:pPr>
            <a:endParaRPr lang="zh-CN"/>
          </a:p>
        </c:txPr>
        <c:crossAx val="128709696"/>
        <c:crosses val="autoZero"/>
        <c:auto val="1"/>
        <c:lblAlgn val="ctr"/>
        <c:lblOffset val="100"/>
        <c:noMultiLvlLbl val="0"/>
      </c:catAx>
      <c:valAx>
        <c:axId val="128709696"/>
        <c:scaling>
          <c:orientation val="minMax"/>
        </c:scaling>
        <c:delete val="0"/>
        <c:axPos val="l"/>
        <c:title>
          <c:tx>
            <c:rich>
              <a:bodyPr rot="-5400000" vert="horz"/>
              <a:lstStyle/>
              <a:p>
                <a:pPr>
                  <a:defRPr/>
                </a:pPr>
                <a:r>
                  <a:rPr lang="zh-CN"/>
                  <a:t>京津冀归一化灯光指数</a:t>
                </a:r>
              </a:p>
            </c:rich>
          </c:tx>
          <c:overlay val="0"/>
          <c:spPr>
            <a:noFill/>
            <a:ln>
              <a:noFill/>
            </a:ln>
            <a:effectLst/>
          </c:spPr>
        </c:title>
        <c:numFmt formatCode="General" sourceLinked="1"/>
        <c:majorTickMark val="in"/>
        <c:minorTickMark val="none"/>
        <c:tickLblPos val="nextTo"/>
        <c:spPr>
          <a:noFill/>
          <a:ln w="6350" cmpd="sng">
            <a:solidFill>
              <a:schemeClr val="tx1"/>
            </a:solidFill>
            <a:prstDash val="solid"/>
          </a:ln>
          <a:effectLst/>
        </c:spPr>
        <c:txPr>
          <a:bodyPr rot="-60000000" vert="horz"/>
          <a:lstStyle/>
          <a:p>
            <a:pPr>
              <a:defRPr/>
            </a:pPr>
            <a:endParaRPr lang="zh-CN"/>
          </a:p>
        </c:txPr>
        <c:crossAx val="157619712"/>
        <c:crosses val="autoZero"/>
        <c:crossBetween val="between"/>
      </c:valAx>
      <c:catAx>
        <c:axId val="177812992"/>
        <c:scaling>
          <c:orientation val="minMax"/>
        </c:scaling>
        <c:delete val="1"/>
        <c:axPos val="b"/>
        <c:numFmt formatCode="@" sourceLinked="1"/>
        <c:majorTickMark val="none"/>
        <c:minorTickMark val="none"/>
        <c:tickLblPos val="nextTo"/>
        <c:crossAx val="128704512"/>
        <c:crosses val="autoZero"/>
        <c:auto val="1"/>
        <c:lblAlgn val="ctr"/>
        <c:lblOffset val="100"/>
        <c:noMultiLvlLbl val="0"/>
      </c:catAx>
      <c:valAx>
        <c:axId val="128704512"/>
        <c:scaling>
          <c:orientation val="minMax"/>
          <c:max val="0.34000000000000008"/>
          <c:min val="0.29000000000000004"/>
        </c:scaling>
        <c:delete val="0"/>
        <c:axPos val="r"/>
        <c:title>
          <c:tx>
            <c:rich>
              <a:bodyPr rot="-5400000" vert="horz"/>
              <a:lstStyle/>
              <a:p>
                <a:pPr>
                  <a:defRPr/>
                </a:pPr>
                <a:r>
                  <a:rPr lang="zh-CN"/>
                  <a:t>城区归一化灯光指数</a:t>
                </a:r>
              </a:p>
            </c:rich>
          </c:tx>
          <c:overlay val="0"/>
          <c:spPr>
            <a:noFill/>
            <a:ln>
              <a:noFill/>
            </a:ln>
            <a:effectLst/>
          </c:spPr>
        </c:title>
        <c:numFmt formatCode="General" sourceLinked="1"/>
        <c:majorTickMark val="in"/>
        <c:minorTickMark val="none"/>
        <c:tickLblPos val="nextTo"/>
        <c:spPr>
          <a:noFill/>
          <a:ln w="6350" cmpd="sng">
            <a:solidFill>
              <a:schemeClr val="tx1"/>
            </a:solidFill>
            <a:prstDash val="solid"/>
          </a:ln>
          <a:effectLst/>
        </c:spPr>
        <c:txPr>
          <a:bodyPr rot="-60000000" vert="horz"/>
          <a:lstStyle/>
          <a:p>
            <a:pPr>
              <a:defRPr/>
            </a:pPr>
            <a:endParaRPr lang="zh-CN"/>
          </a:p>
        </c:txPr>
        <c:crossAx val="177812992"/>
        <c:crosses val="max"/>
        <c:crossBetween val="between"/>
        <c:majorUnit val="1.0000000000000002E-2"/>
      </c:valAx>
      <c:spPr>
        <a:noFill/>
        <a:ln w="6350" cmpd="sng">
          <a:noFill/>
          <a:prstDash val="solid"/>
        </a:ln>
        <a:effectLst/>
      </c:spPr>
    </c:plotArea>
    <c:legend>
      <c:legendPos val="b"/>
      <c:legendEntry>
        <c:idx val="0"/>
        <c:txPr>
          <a:bodyPr rot="0" vert="horz"/>
          <a:lstStyle/>
          <a:p>
            <a:pPr>
              <a:defRPr/>
            </a:pPr>
            <a:endParaRPr lang="zh-CN"/>
          </a:p>
        </c:txPr>
      </c:legendEntry>
      <c:legendEntry>
        <c:idx val="1"/>
        <c:txPr>
          <a:bodyPr rot="0" vert="horz"/>
          <a:lstStyle/>
          <a:p>
            <a:pPr>
              <a:defRPr/>
            </a:pPr>
            <a:endParaRPr lang="zh-CN"/>
          </a:p>
        </c:txPr>
      </c:legendEntry>
      <c:layout>
        <c:manualLayout>
          <c:xMode val="edge"/>
          <c:yMode val="edge"/>
          <c:x val="0.30979166666666702"/>
          <c:y val="4.7916666666666698E-2"/>
        </c:manualLayout>
      </c:layout>
      <c:overlay val="0"/>
      <c:spPr>
        <a:noFill/>
        <a:ln>
          <a:noFill/>
        </a:ln>
        <a:effectLst/>
      </c:spPr>
      <c:txPr>
        <a:bodyPr rot="0" vert="horz"/>
        <a:lstStyle/>
        <a:p>
          <a:pPr>
            <a:defRPr/>
          </a:pPr>
          <a:endParaRPr lang="zh-CN"/>
        </a:p>
      </c:txPr>
    </c:legend>
    <c:plotVisOnly val="1"/>
    <c:dispBlanksAs val="gap"/>
    <c:showDLblsOverMax val="0"/>
  </c:chart>
  <c:spPr>
    <a:noFill/>
    <a:ln w="9525" cap="flat" cmpd="sng" algn="ctr">
      <a:noFill/>
      <a:round/>
    </a:ln>
    <a:effectLst/>
  </c:spPr>
  <c:txPr>
    <a:bodyPr/>
    <a:lstStyle/>
    <a:p>
      <a:pPr>
        <a:defRPr lang="zh-CN" sz="1100" b="0"/>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16666666666701"/>
          <c:y val="5.0925925925925902E-2"/>
          <c:w val="0.81894444444444403"/>
          <c:h val="0.82494507856486865"/>
        </c:manualLayout>
      </c:layout>
      <c:barChart>
        <c:barDir val="col"/>
        <c:grouping val="clustered"/>
        <c:varyColors val="0"/>
        <c:ser>
          <c:idx val="1"/>
          <c:order val="0"/>
          <c:tx>
            <c:strRef>
              <c:f>Sheet1!$G$1</c:f>
              <c:strCache>
                <c:ptCount val="1"/>
                <c:pt idx="0">
                  <c:v>夜间灯光面积比</c:v>
                </c:pt>
              </c:strCache>
            </c:strRef>
          </c:tx>
          <c:spPr>
            <a:gradFill>
              <a:gsLst>
                <a:gs pos="0">
                  <a:schemeClr val="accent2"/>
                </a:gs>
                <a:gs pos="100000">
                  <a:srgbClr val="832B2B"/>
                </a:gs>
              </a:gsLst>
              <a:lin ang="3600000" scaled="0"/>
            </a:gradFill>
            <a:ln w="6350" cmpd="sng">
              <a:solidFill>
                <a:srgbClr val="C00000"/>
              </a:solidFill>
              <a:prstDash val="solid"/>
            </a:ln>
            <a:effectLst/>
          </c:spPr>
          <c:invertIfNegative val="0"/>
          <c:cat>
            <c:strRef>
              <c:f>Sheet1!$B$2:$B$5</c:f>
              <c:strCache>
                <c:ptCount val="4"/>
                <c:pt idx="0">
                  <c:v>1月3日</c:v>
                </c:pt>
                <c:pt idx="1">
                  <c:v>2月18日</c:v>
                </c:pt>
                <c:pt idx="2">
                  <c:v>3月14日</c:v>
                </c:pt>
                <c:pt idx="3">
                  <c:v>4月12日</c:v>
                </c:pt>
              </c:strCache>
            </c:strRef>
          </c:cat>
          <c:val>
            <c:numRef>
              <c:f>Sheet1!$G$2:$G$5</c:f>
              <c:numCache>
                <c:formatCode>0.00%</c:formatCode>
                <c:ptCount val="4"/>
                <c:pt idx="0">
                  <c:v>4.8188505218060999E-2</c:v>
                </c:pt>
                <c:pt idx="1">
                  <c:v>4.3983960769387397E-2</c:v>
                </c:pt>
                <c:pt idx="2">
                  <c:v>4.47319270976251E-2</c:v>
                </c:pt>
                <c:pt idx="3">
                  <c:v>4.65642233099944E-2</c:v>
                </c:pt>
              </c:numCache>
            </c:numRef>
          </c:val>
        </c:ser>
        <c:dLbls>
          <c:showLegendKey val="0"/>
          <c:showVal val="0"/>
          <c:showCatName val="0"/>
          <c:showSerName val="0"/>
          <c:showPercent val="0"/>
          <c:showBubbleSize val="0"/>
        </c:dLbls>
        <c:gapWidth val="240"/>
        <c:axId val="177463296"/>
        <c:axId val="128711424"/>
      </c:barChart>
      <c:catAx>
        <c:axId val="177463296"/>
        <c:scaling>
          <c:orientation val="minMax"/>
        </c:scaling>
        <c:delete val="0"/>
        <c:axPos val="b"/>
        <c:numFmt formatCode="@" sourceLinked="1"/>
        <c:majorTickMark val="in"/>
        <c:minorTickMark val="none"/>
        <c:tickLblPos val="nextTo"/>
        <c:spPr>
          <a:noFill/>
          <a:ln w="6350" cap="flat" cmpd="sng" algn="ctr">
            <a:solidFill>
              <a:schemeClr val="tx1"/>
            </a:solidFill>
            <a:round/>
          </a:ln>
          <a:effectLst/>
        </c:spPr>
        <c:txPr>
          <a:bodyPr rot="-60000000" vert="horz"/>
          <a:lstStyle/>
          <a:p>
            <a:pPr>
              <a:defRPr/>
            </a:pPr>
            <a:endParaRPr lang="zh-CN"/>
          </a:p>
        </c:txPr>
        <c:crossAx val="128711424"/>
        <c:crosses val="autoZero"/>
        <c:auto val="1"/>
        <c:lblAlgn val="ctr"/>
        <c:lblOffset val="100"/>
        <c:noMultiLvlLbl val="0"/>
      </c:catAx>
      <c:valAx>
        <c:axId val="128711424"/>
        <c:scaling>
          <c:orientation val="minMax"/>
          <c:max val="5.000000000000001E-2"/>
          <c:min val="4.0000000000000008E-2"/>
        </c:scaling>
        <c:delete val="0"/>
        <c:axPos val="l"/>
        <c:title>
          <c:tx>
            <c:rich>
              <a:bodyPr rot="-5400000" vert="horz"/>
              <a:lstStyle/>
              <a:p>
                <a:pPr>
                  <a:defRPr/>
                </a:pPr>
                <a:r>
                  <a:rPr lang="zh-CN"/>
                  <a:t>夜间灯光面积比（</a:t>
                </a:r>
                <a:r>
                  <a:rPr lang="en-US"/>
                  <a:t>%</a:t>
                </a:r>
                <a:r>
                  <a:rPr lang="zh-CN"/>
                  <a:t>）</a:t>
                </a:r>
              </a:p>
            </c:rich>
          </c:tx>
          <c:overlay val="0"/>
          <c:spPr>
            <a:noFill/>
            <a:ln>
              <a:noFill/>
            </a:ln>
            <a:effectLst/>
          </c:spPr>
        </c:title>
        <c:numFmt formatCode="0.00%" sourceLinked="1"/>
        <c:majorTickMark val="in"/>
        <c:minorTickMark val="none"/>
        <c:tickLblPos val="nextTo"/>
        <c:spPr>
          <a:noFill/>
          <a:ln w="6350">
            <a:solidFill>
              <a:schemeClr val="tx1"/>
            </a:solidFill>
          </a:ln>
          <a:effectLst/>
        </c:spPr>
        <c:txPr>
          <a:bodyPr rot="-60000000" vert="horz"/>
          <a:lstStyle/>
          <a:p>
            <a:pPr>
              <a:defRPr/>
            </a:pPr>
            <a:endParaRPr lang="zh-CN"/>
          </a:p>
        </c:txPr>
        <c:crossAx val="177463296"/>
        <c:crosses val="autoZero"/>
        <c:crossBetween val="between"/>
        <c:majorUnit val="2.0000000000000005E-3"/>
      </c:valAx>
      <c:spPr>
        <a:noFill/>
        <a:ln>
          <a:noFill/>
        </a:ln>
        <a:effectLst/>
      </c:spPr>
    </c:plotArea>
    <c:plotVisOnly val="1"/>
    <c:dispBlanksAs val="gap"/>
    <c:showDLblsOverMax val="0"/>
  </c:chart>
  <c:spPr>
    <a:noFill/>
    <a:ln w="9525" cap="flat" cmpd="sng" algn="ctr">
      <a:noFill/>
      <a:round/>
    </a:ln>
    <a:effectLst/>
  </c:spPr>
  <c:txPr>
    <a:bodyPr/>
    <a:lstStyle/>
    <a:p>
      <a:pPr>
        <a:defRPr lang="zh-CN" sz="1100" b="0"/>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0A3C-7819-4B0E-A2B9-8D12476D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孟成真(拟稿)</dc:creator>
  <cp:lastModifiedBy>孟成真(拟稿)</cp:lastModifiedBy>
  <cp:revision>6</cp:revision>
  <dcterms:created xsi:type="dcterms:W3CDTF">2020-04-26T07:37:00Z</dcterms:created>
  <dcterms:modified xsi:type="dcterms:W3CDTF">2020-04-26T08:53:00Z</dcterms:modified>
</cp:coreProperties>
</file>