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8770" w:type="dxa"/>
        <w:tblInd w:w="0" w:type="dxa"/>
        <w:tblLayout w:type="fixed"/>
        <w:tblCellMar>
          <w:top w:w="0" w:type="dxa"/>
          <w:left w:w="0" w:type="dxa"/>
          <w:bottom w:w="0" w:type="dxa"/>
          <w:right w:w="0" w:type="dxa"/>
        </w:tblCellMar>
      </w:tblPr>
      <w:tblGrid>
        <w:gridCol w:w="977"/>
        <w:gridCol w:w="977"/>
        <w:gridCol w:w="977"/>
        <w:gridCol w:w="977"/>
        <w:gridCol w:w="977"/>
        <w:gridCol w:w="977"/>
        <w:gridCol w:w="977"/>
        <w:gridCol w:w="973"/>
        <w:gridCol w:w="958"/>
      </w:tblGrid>
      <w:tr>
        <w:tblPrEx>
          <w:tblCellMar>
            <w:top w:w="0" w:type="dxa"/>
            <w:left w:w="0" w:type="dxa"/>
            <w:bottom w:w="0" w:type="dxa"/>
            <w:right w:w="0" w:type="dxa"/>
          </w:tblCellMar>
        </w:tblPrEx>
        <w:trPr>
          <w:trHeight w:val="1665" w:hRule="atLeast"/>
        </w:trPr>
        <w:tc>
          <w:tcPr>
            <w:tcW w:w="8769" w:type="dxa"/>
            <w:gridSpan w:val="9"/>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b/>
                <w:color w:val="000000"/>
                <w:kern w:val="0"/>
                <w:sz w:val="56"/>
                <w:szCs w:val="56"/>
              </w:rPr>
            </w:pPr>
            <w:r>
              <w:rPr>
                <w:rFonts w:hint="eastAsia" w:ascii="黑体" w:hAnsi="宋体" w:eastAsia="黑体" w:cs="黑体"/>
                <w:b/>
                <w:color w:val="000000"/>
                <w:kern w:val="0"/>
                <w:sz w:val="56"/>
                <w:szCs w:val="56"/>
              </w:rPr>
              <w:t>邢台市部门工作活动(项目)</w:t>
            </w:r>
          </w:p>
        </w:tc>
      </w:tr>
      <w:tr>
        <w:tblPrEx>
          <w:tblCellMar>
            <w:top w:w="0" w:type="dxa"/>
            <w:left w:w="0" w:type="dxa"/>
            <w:bottom w:w="0" w:type="dxa"/>
            <w:right w:w="0" w:type="dxa"/>
          </w:tblCellMar>
        </w:tblPrEx>
        <w:trPr>
          <w:trHeight w:val="1005" w:hRule="atLeast"/>
        </w:trPr>
        <w:tc>
          <w:tcPr>
            <w:tcW w:w="8769" w:type="dxa"/>
            <w:gridSpan w:val="9"/>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b/>
                <w:color w:val="000000"/>
                <w:kern w:val="0"/>
                <w:sz w:val="56"/>
                <w:szCs w:val="56"/>
              </w:rPr>
            </w:pPr>
            <w:r>
              <w:rPr>
                <w:rFonts w:hint="eastAsia" w:ascii="黑体" w:hAnsi="宋体" w:eastAsia="黑体" w:cs="黑体"/>
                <w:b/>
                <w:color w:val="000000"/>
                <w:kern w:val="0"/>
                <w:sz w:val="56"/>
                <w:szCs w:val="56"/>
              </w:rPr>
              <w:t>绩效评价自评报告</w:t>
            </w:r>
          </w:p>
        </w:tc>
      </w:tr>
      <w:tr>
        <w:tblPrEx>
          <w:tblCellMar>
            <w:top w:w="0" w:type="dxa"/>
            <w:left w:w="0" w:type="dxa"/>
            <w:bottom w:w="0" w:type="dxa"/>
            <w:right w:w="0" w:type="dxa"/>
          </w:tblCellMar>
        </w:tblPrEx>
        <w:trPr>
          <w:trHeight w:val="795" w:hRule="atLeast"/>
        </w:trPr>
        <w:tc>
          <w:tcPr>
            <w:tcW w:w="8769" w:type="dxa"/>
            <w:gridSpan w:val="9"/>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52"/>
                <w:szCs w:val="52"/>
              </w:rPr>
            </w:pPr>
            <w:r>
              <w:rPr>
                <w:rFonts w:hint="eastAsia" w:ascii="宋体" w:hAnsi="宋体" w:cs="宋体"/>
                <w:color w:val="000000"/>
                <w:kern w:val="0"/>
                <w:sz w:val="52"/>
                <w:szCs w:val="52"/>
              </w:rPr>
              <w:t>（202</w:t>
            </w:r>
            <w:r>
              <w:rPr>
                <w:rFonts w:hint="eastAsia" w:ascii="宋体" w:hAnsi="宋体" w:cs="宋体"/>
                <w:color w:val="000000"/>
                <w:kern w:val="0"/>
                <w:sz w:val="52"/>
                <w:szCs w:val="52"/>
                <w:lang w:val="en-US" w:eastAsia="zh-CN"/>
              </w:rPr>
              <w:t>1</w:t>
            </w:r>
            <w:r>
              <w:rPr>
                <w:rFonts w:hint="eastAsia" w:ascii="宋体" w:hAnsi="宋体" w:cs="宋体"/>
                <w:color w:val="000000"/>
                <w:kern w:val="0"/>
                <w:sz w:val="52"/>
                <w:szCs w:val="52"/>
              </w:rPr>
              <w:t>年度）</w:t>
            </w:r>
          </w:p>
        </w:tc>
      </w:tr>
      <w:tr>
        <w:tblPrEx>
          <w:tblCellMar>
            <w:top w:w="0" w:type="dxa"/>
            <w:left w:w="0" w:type="dxa"/>
            <w:bottom w:w="0" w:type="dxa"/>
            <w:right w:w="0" w:type="dxa"/>
          </w:tblCellMar>
        </w:tblPrEx>
        <w:trPr>
          <w:trHeight w:val="2430" w:hRule="atLeast"/>
        </w:trPr>
        <w:tc>
          <w:tcPr>
            <w:tcW w:w="977" w:type="dxa"/>
            <w:tcBorders>
              <w:top w:val="nil"/>
              <w:left w:val="nil"/>
              <w:bottom w:val="nil"/>
              <w:right w:val="nil"/>
            </w:tcBorders>
            <w:shd w:val="clear" w:color="auto" w:fill="auto"/>
            <w:noWrap/>
            <w:tcMar>
              <w:top w:w="15" w:type="dxa"/>
              <w:left w:w="15" w:type="dxa"/>
              <w:right w:w="15" w:type="dxa"/>
            </w:tcMar>
            <w:vAlign w:val="center"/>
          </w:tcPr>
          <w:p>
            <w:pPr>
              <w:rPr>
                <w:rFonts w:ascii="仿宋_GB2312" w:hAnsi="宋体" w:eastAsia="仿宋_GB2312" w:cs="仿宋_GB2312"/>
                <w:color w:val="000000"/>
                <w:sz w:val="32"/>
                <w:szCs w:val="32"/>
              </w:rPr>
            </w:pPr>
          </w:p>
        </w:tc>
        <w:tc>
          <w:tcPr>
            <w:tcW w:w="1954" w:type="dxa"/>
            <w:gridSpan w:val="2"/>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rPr>
              <w:t>工作活动(项目)名称：</w:t>
            </w:r>
          </w:p>
        </w:tc>
        <w:tc>
          <w:tcPr>
            <w:tcW w:w="4880" w:type="dxa"/>
            <w:gridSpan w:val="5"/>
            <w:tcBorders>
              <w:top w:val="nil"/>
              <w:left w:val="nil"/>
              <w:bottom w:val="single" w:color="000000" w:sz="4" w:space="0"/>
              <w:right w:val="nil"/>
            </w:tcBorders>
            <w:shd w:val="clear" w:color="auto" w:fill="auto"/>
            <w:noWrap/>
            <w:tcMar>
              <w:top w:w="15" w:type="dxa"/>
              <w:left w:w="15" w:type="dxa"/>
              <w:right w:w="15" w:type="dxa"/>
            </w:tcMar>
            <w:vAlign w:val="bottom"/>
          </w:tcPr>
          <w:p>
            <w:pPr>
              <w:widowControl/>
              <w:jc w:val="center"/>
              <w:textAlignment w:val="bottom"/>
              <w:rPr>
                <w:rFonts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rPr>
              <w:t>差补费</w:t>
            </w:r>
          </w:p>
        </w:tc>
        <w:tc>
          <w:tcPr>
            <w:tcW w:w="958" w:type="dxa"/>
            <w:tcBorders>
              <w:top w:val="nil"/>
              <w:left w:val="nil"/>
              <w:bottom w:val="single" w:color="000000" w:sz="4" w:space="0"/>
              <w:right w:val="nil"/>
            </w:tcBorders>
            <w:shd w:val="clear" w:color="auto" w:fill="auto"/>
            <w:noWrap/>
            <w:tcMar>
              <w:top w:w="15" w:type="dxa"/>
              <w:left w:w="15" w:type="dxa"/>
              <w:right w:w="15" w:type="dxa"/>
            </w:tcMar>
            <w:vAlign w:val="bottom"/>
          </w:tcPr>
          <w:p>
            <w:pPr>
              <w:widowControl/>
              <w:jc w:val="center"/>
              <w:textAlignment w:val="bottom"/>
              <w:rPr>
                <w:rFonts w:ascii="仿宋_GB2312" w:hAnsi="宋体" w:eastAsia="仿宋_GB2312" w:cs="仿宋_GB2312"/>
                <w:color w:val="000000"/>
                <w:kern w:val="0"/>
                <w:sz w:val="32"/>
                <w:szCs w:val="32"/>
              </w:rPr>
            </w:pPr>
          </w:p>
        </w:tc>
      </w:tr>
      <w:tr>
        <w:tblPrEx>
          <w:tblCellMar>
            <w:top w:w="0" w:type="dxa"/>
            <w:left w:w="0" w:type="dxa"/>
            <w:bottom w:w="0" w:type="dxa"/>
            <w:right w:w="0" w:type="dxa"/>
          </w:tblCellMar>
        </w:tblPrEx>
        <w:trPr>
          <w:trHeight w:val="1605" w:hRule="atLeast"/>
        </w:trPr>
        <w:tc>
          <w:tcPr>
            <w:tcW w:w="977" w:type="dxa"/>
            <w:tcBorders>
              <w:top w:val="nil"/>
              <w:left w:val="nil"/>
              <w:bottom w:val="nil"/>
              <w:right w:val="nil"/>
            </w:tcBorders>
            <w:shd w:val="clear" w:color="auto" w:fill="auto"/>
            <w:noWrap/>
            <w:tcMar>
              <w:top w:w="15" w:type="dxa"/>
              <w:left w:w="15" w:type="dxa"/>
              <w:right w:w="15" w:type="dxa"/>
            </w:tcMar>
            <w:vAlign w:val="center"/>
          </w:tcPr>
          <w:p>
            <w:pPr>
              <w:rPr>
                <w:rFonts w:ascii="仿宋_GB2312" w:hAnsi="宋体" w:eastAsia="仿宋_GB2312" w:cs="仿宋_GB2312"/>
                <w:color w:val="000000"/>
                <w:sz w:val="32"/>
                <w:szCs w:val="32"/>
              </w:rPr>
            </w:pPr>
          </w:p>
        </w:tc>
        <w:tc>
          <w:tcPr>
            <w:tcW w:w="1954" w:type="dxa"/>
            <w:gridSpan w:val="2"/>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rPr>
              <w:t>工作活动(项目)承担单位： 　</w:t>
            </w:r>
          </w:p>
        </w:tc>
        <w:tc>
          <w:tcPr>
            <w:tcW w:w="4880" w:type="dxa"/>
            <w:gridSpan w:val="5"/>
            <w:tcBorders>
              <w:top w:val="single" w:color="000000" w:sz="4" w:space="0"/>
              <w:left w:val="nil"/>
              <w:bottom w:val="single" w:color="000000" w:sz="4" w:space="0"/>
              <w:right w:val="nil"/>
            </w:tcBorders>
            <w:shd w:val="clear" w:color="auto" w:fill="auto"/>
            <w:noWrap/>
            <w:tcMar>
              <w:top w:w="15" w:type="dxa"/>
              <w:left w:w="15" w:type="dxa"/>
              <w:right w:w="15" w:type="dxa"/>
            </w:tcMar>
            <w:vAlign w:val="bottom"/>
          </w:tcPr>
          <w:p>
            <w:pPr>
              <w:widowControl/>
              <w:jc w:val="center"/>
              <w:textAlignment w:val="bottom"/>
              <w:rPr>
                <w:rFonts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rPr>
              <w:t>邢台市气象局      （公章）</w:t>
            </w:r>
          </w:p>
        </w:tc>
        <w:tc>
          <w:tcPr>
            <w:tcW w:w="958" w:type="dxa"/>
            <w:tcBorders>
              <w:top w:val="single" w:color="000000" w:sz="4" w:space="0"/>
              <w:left w:val="nil"/>
              <w:bottom w:val="single" w:color="000000" w:sz="4" w:space="0"/>
              <w:right w:val="nil"/>
            </w:tcBorders>
            <w:shd w:val="clear" w:color="auto" w:fill="auto"/>
            <w:noWrap/>
            <w:tcMar>
              <w:top w:w="15" w:type="dxa"/>
              <w:left w:w="15" w:type="dxa"/>
              <w:right w:w="15" w:type="dxa"/>
            </w:tcMar>
            <w:vAlign w:val="bottom"/>
          </w:tcPr>
          <w:p>
            <w:pPr>
              <w:widowControl/>
              <w:jc w:val="center"/>
              <w:textAlignment w:val="bottom"/>
              <w:rPr>
                <w:rFonts w:ascii="仿宋_GB2312" w:hAnsi="宋体" w:eastAsia="仿宋_GB2312" w:cs="仿宋_GB2312"/>
                <w:color w:val="000000"/>
                <w:kern w:val="0"/>
                <w:sz w:val="32"/>
                <w:szCs w:val="32"/>
              </w:rPr>
            </w:pPr>
          </w:p>
        </w:tc>
      </w:tr>
      <w:tr>
        <w:tblPrEx>
          <w:tblCellMar>
            <w:top w:w="0" w:type="dxa"/>
            <w:left w:w="0" w:type="dxa"/>
            <w:bottom w:w="0" w:type="dxa"/>
            <w:right w:w="0" w:type="dxa"/>
          </w:tblCellMar>
        </w:tblPrEx>
        <w:trPr>
          <w:trHeight w:val="1605" w:hRule="atLeast"/>
        </w:trPr>
        <w:tc>
          <w:tcPr>
            <w:tcW w:w="977" w:type="dxa"/>
            <w:tcBorders>
              <w:top w:val="nil"/>
              <w:left w:val="nil"/>
              <w:bottom w:val="nil"/>
              <w:right w:val="nil"/>
            </w:tcBorders>
            <w:shd w:val="clear" w:color="auto" w:fill="auto"/>
            <w:noWrap/>
            <w:tcMar>
              <w:top w:w="15" w:type="dxa"/>
              <w:left w:w="15" w:type="dxa"/>
              <w:right w:w="15" w:type="dxa"/>
            </w:tcMar>
            <w:vAlign w:val="center"/>
          </w:tcPr>
          <w:p>
            <w:pPr>
              <w:rPr>
                <w:rFonts w:ascii="仿宋_GB2312" w:hAnsi="宋体" w:eastAsia="仿宋_GB2312" w:cs="仿宋_GB2312"/>
                <w:color w:val="000000"/>
                <w:sz w:val="32"/>
                <w:szCs w:val="32"/>
              </w:rPr>
            </w:pPr>
          </w:p>
        </w:tc>
        <w:tc>
          <w:tcPr>
            <w:tcW w:w="1954" w:type="dxa"/>
            <w:gridSpan w:val="2"/>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rPr>
              <w:t>工作活动(项目)主管部门：</w:t>
            </w:r>
          </w:p>
        </w:tc>
        <w:tc>
          <w:tcPr>
            <w:tcW w:w="4880" w:type="dxa"/>
            <w:gridSpan w:val="5"/>
            <w:tcBorders>
              <w:top w:val="single" w:color="000000" w:sz="4" w:space="0"/>
              <w:left w:val="nil"/>
              <w:bottom w:val="single" w:color="000000" w:sz="4" w:space="0"/>
              <w:right w:val="nil"/>
            </w:tcBorders>
            <w:shd w:val="clear" w:color="auto" w:fill="auto"/>
            <w:noWrap/>
            <w:tcMar>
              <w:top w:w="15" w:type="dxa"/>
              <w:left w:w="15" w:type="dxa"/>
              <w:right w:w="15" w:type="dxa"/>
            </w:tcMar>
            <w:vAlign w:val="bottom"/>
          </w:tcPr>
          <w:p>
            <w:pPr>
              <w:widowControl/>
              <w:jc w:val="center"/>
              <w:textAlignment w:val="bottom"/>
              <w:rPr>
                <w:rFonts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rPr>
              <w:t>邢台市气象局      （公章）</w:t>
            </w:r>
          </w:p>
        </w:tc>
        <w:tc>
          <w:tcPr>
            <w:tcW w:w="958" w:type="dxa"/>
            <w:tcBorders>
              <w:top w:val="single" w:color="000000" w:sz="4" w:space="0"/>
              <w:left w:val="nil"/>
              <w:bottom w:val="single" w:color="000000" w:sz="4" w:space="0"/>
              <w:right w:val="nil"/>
            </w:tcBorders>
            <w:shd w:val="clear" w:color="auto" w:fill="auto"/>
            <w:noWrap/>
            <w:tcMar>
              <w:top w:w="15" w:type="dxa"/>
              <w:left w:w="15" w:type="dxa"/>
              <w:right w:w="15" w:type="dxa"/>
            </w:tcMar>
            <w:vAlign w:val="bottom"/>
          </w:tcPr>
          <w:p>
            <w:pPr>
              <w:widowControl/>
              <w:jc w:val="center"/>
              <w:textAlignment w:val="bottom"/>
              <w:rPr>
                <w:rFonts w:ascii="仿宋_GB2312" w:hAnsi="宋体" w:eastAsia="仿宋_GB2312" w:cs="仿宋_GB2312"/>
                <w:color w:val="000000"/>
                <w:kern w:val="0"/>
                <w:sz w:val="32"/>
                <w:szCs w:val="32"/>
              </w:rPr>
            </w:pPr>
          </w:p>
        </w:tc>
      </w:tr>
      <w:tr>
        <w:tblPrEx>
          <w:tblCellMar>
            <w:top w:w="0" w:type="dxa"/>
            <w:left w:w="0" w:type="dxa"/>
            <w:bottom w:w="0" w:type="dxa"/>
            <w:right w:w="0" w:type="dxa"/>
          </w:tblCellMar>
        </w:tblPrEx>
        <w:trPr>
          <w:trHeight w:val="810" w:hRule="atLeast"/>
        </w:trPr>
        <w:tc>
          <w:tcPr>
            <w:tcW w:w="977" w:type="dxa"/>
            <w:tcBorders>
              <w:top w:val="nil"/>
              <w:left w:val="nil"/>
              <w:bottom w:val="nil"/>
              <w:right w:val="nil"/>
            </w:tcBorders>
            <w:shd w:val="clear" w:color="auto" w:fill="auto"/>
            <w:noWrap/>
            <w:tcMar>
              <w:top w:w="15" w:type="dxa"/>
              <w:left w:w="15" w:type="dxa"/>
              <w:right w:w="15" w:type="dxa"/>
            </w:tcMar>
            <w:vAlign w:val="center"/>
          </w:tcPr>
          <w:p>
            <w:pPr>
              <w:rPr>
                <w:rFonts w:ascii="仿宋_GB2312" w:hAnsi="宋体" w:eastAsia="仿宋_GB2312" w:cs="仿宋_GB2312"/>
                <w:color w:val="000000"/>
                <w:sz w:val="28"/>
                <w:szCs w:val="28"/>
              </w:rPr>
            </w:pPr>
          </w:p>
        </w:tc>
        <w:tc>
          <w:tcPr>
            <w:tcW w:w="7792" w:type="dxa"/>
            <w:gridSpan w:val="8"/>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组织方式：</w:t>
            </w:r>
            <w:r>
              <w:rPr>
                <w:rStyle w:val="17"/>
                <w:rFonts w:hint="default" w:hAnsi="宋体"/>
              </w:rPr>
              <w:t>□财政部门 □主管部门√实施单位</w:t>
            </w:r>
          </w:p>
        </w:tc>
      </w:tr>
      <w:tr>
        <w:tblPrEx>
          <w:tblCellMar>
            <w:top w:w="0" w:type="dxa"/>
            <w:left w:w="0" w:type="dxa"/>
            <w:bottom w:w="0" w:type="dxa"/>
            <w:right w:w="0" w:type="dxa"/>
          </w:tblCellMar>
        </w:tblPrEx>
        <w:trPr>
          <w:trHeight w:val="615" w:hRule="atLeast"/>
        </w:trPr>
        <w:tc>
          <w:tcPr>
            <w:tcW w:w="977" w:type="dxa"/>
            <w:tcBorders>
              <w:top w:val="nil"/>
              <w:left w:val="nil"/>
              <w:bottom w:val="nil"/>
              <w:right w:val="nil"/>
            </w:tcBorders>
            <w:shd w:val="clear" w:color="auto" w:fill="auto"/>
            <w:noWrap/>
            <w:tcMar>
              <w:top w:w="15" w:type="dxa"/>
              <w:left w:w="15" w:type="dxa"/>
              <w:right w:w="15" w:type="dxa"/>
            </w:tcMar>
            <w:vAlign w:val="center"/>
          </w:tcPr>
          <w:p>
            <w:pPr>
              <w:rPr>
                <w:rFonts w:ascii="仿宋_GB2312" w:hAnsi="宋体" w:eastAsia="仿宋_GB2312" w:cs="仿宋_GB2312"/>
                <w:color w:val="000000"/>
                <w:sz w:val="28"/>
                <w:szCs w:val="28"/>
              </w:rPr>
            </w:pPr>
          </w:p>
        </w:tc>
        <w:tc>
          <w:tcPr>
            <w:tcW w:w="7792" w:type="dxa"/>
            <w:gridSpan w:val="8"/>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评价机构：</w:t>
            </w:r>
            <w:r>
              <w:rPr>
                <w:rStyle w:val="17"/>
                <w:rFonts w:hint="default" w:hAnsi="宋体"/>
              </w:rPr>
              <w:t>□中介机构 □专家组 √项目单位评价组</w:t>
            </w:r>
          </w:p>
        </w:tc>
      </w:tr>
      <w:tr>
        <w:tblPrEx>
          <w:tblCellMar>
            <w:top w:w="0" w:type="dxa"/>
            <w:left w:w="0" w:type="dxa"/>
            <w:bottom w:w="0" w:type="dxa"/>
            <w:right w:w="0" w:type="dxa"/>
          </w:tblCellMar>
        </w:tblPrEx>
        <w:trPr>
          <w:trHeight w:val="630" w:hRule="atLeast"/>
        </w:trPr>
        <w:tc>
          <w:tcPr>
            <w:tcW w:w="977" w:type="dxa"/>
            <w:tcBorders>
              <w:top w:val="nil"/>
              <w:left w:val="nil"/>
              <w:bottom w:val="nil"/>
              <w:right w:val="nil"/>
            </w:tcBorders>
            <w:shd w:val="clear" w:color="auto" w:fill="auto"/>
            <w:noWrap/>
            <w:tcMar>
              <w:top w:w="15" w:type="dxa"/>
              <w:left w:w="15" w:type="dxa"/>
              <w:right w:w="15" w:type="dxa"/>
            </w:tcMar>
            <w:vAlign w:val="center"/>
          </w:tcPr>
          <w:p>
            <w:pPr>
              <w:rPr>
                <w:rFonts w:ascii="仿宋_GB2312" w:hAnsi="宋体" w:eastAsia="仿宋_GB2312" w:cs="仿宋_GB2312"/>
                <w:color w:val="000000"/>
                <w:sz w:val="28"/>
                <w:szCs w:val="28"/>
              </w:rPr>
            </w:pPr>
          </w:p>
        </w:tc>
        <w:tc>
          <w:tcPr>
            <w:tcW w:w="7792" w:type="dxa"/>
            <w:gridSpan w:val="8"/>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评价类型：</w:t>
            </w:r>
            <w:r>
              <w:rPr>
                <w:rStyle w:val="17"/>
                <w:rFonts w:hint="default" w:hAnsi="宋体"/>
              </w:rPr>
              <w:t>□预算申报前评价□实施过程评价√完成结果评价</w:t>
            </w:r>
          </w:p>
        </w:tc>
      </w:tr>
      <w:tr>
        <w:tblPrEx>
          <w:tblCellMar>
            <w:top w:w="0" w:type="dxa"/>
            <w:left w:w="0" w:type="dxa"/>
            <w:bottom w:w="0" w:type="dxa"/>
            <w:right w:w="0" w:type="dxa"/>
          </w:tblCellMar>
        </w:tblPrEx>
        <w:trPr>
          <w:trHeight w:val="225" w:hRule="atLeast"/>
        </w:trPr>
        <w:tc>
          <w:tcPr>
            <w:tcW w:w="977" w:type="dxa"/>
            <w:tcBorders>
              <w:top w:val="nil"/>
              <w:left w:val="nil"/>
              <w:bottom w:val="nil"/>
              <w:right w:val="nil"/>
            </w:tcBorders>
            <w:shd w:val="clear" w:color="auto" w:fill="auto"/>
            <w:noWrap/>
            <w:tcMar>
              <w:top w:w="15" w:type="dxa"/>
              <w:left w:w="15" w:type="dxa"/>
              <w:right w:w="15" w:type="dxa"/>
            </w:tcMar>
            <w:vAlign w:val="center"/>
          </w:tcPr>
          <w:p>
            <w:pPr>
              <w:rPr>
                <w:rFonts w:ascii="仿宋_GB2312" w:hAnsi="宋体" w:eastAsia="仿宋_GB2312" w:cs="仿宋_GB2312"/>
                <w:color w:val="000000"/>
                <w:sz w:val="32"/>
                <w:szCs w:val="32"/>
              </w:rPr>
            </w:pPr>
          </w:p>
        </w:tc>
        <w:tc>
          <w:tcPr>
            <w:tcW w:w="6834" w:type="dxa"/>
            <w:gridSpan w:val="7"/>
            <w:tcBorders>
              <w:top w:val="nil"/>
              <w:left w:val="nil"/>
              <w:bottom w:val="nil"/>
              <w:right w:val="nil"/>
            </w:tcBorders>
            <w:shd w:val="clear" w:color="auto" w:fill="auto"/>
            <w:noWrap/>
            <w:tcMar>
              <w:top w:w="15" w:type="dxa"/>
              <w:left w:w="15" w:type="dxa"/>
              <w:right w:w="15" w:type="dxa"/>
            </w:tcMar>
            <w:vAlign w:val="bottom"/>
          </w:tcPr>
          <w:p>
            <w:pPr>
              <w:jc w:val="left"/>
              <w:rPr>
                <w:rFonts w:ascii="仿宋_GB2312" w:hAnsi="宋体" w:eastAsia="仿宋_GB2312" w:cs="仿宋_GB2312"/>
                <w:color w:val="000000"/>
                <w:sz w:val="32"/>
                <w:szCs w:val="32"/>
              </w:rPr>
            </w:pPr>
          </w:p>
        </w:tc>
        <w:tc>
          <w:tcPr>
            <w:tcW w:w="958" w:type="dxa"/>
            <w:tcBorders>
              <w:top w:val="nil"/>
              <w:left w:val="nil"/>
              <w:bottom w:val="nil"/>
              <w:right w:val="nil"/>
            </w:tcBorders>
            <w:shd w:val="clear" w:color="auto" w:fill="auto"/>
            <w:noWrap/>
            <w:tcMar>
              <w:top w:w="15" w:type="dxa"/>
              <w:left w:w="15" w:type="dxa"/>
              <w:right w:w="15" w:type="dxa"/>
            </w:tcMar>
            <w:vAlign w:val="bottom"/>
          </w:tcPr>
          <w:p>
            <w:pPr>
              <w:jc w:val="left"/>
              <w:rPr>
                <w:rFonts w:ascii="仿宋_GB2312" w:hAnsi="宋体" w:eastAsia="仿宋_GB2312" w:cs="仿宋_GB2312"/>
                <w:color w:val="000000"/>
                <w:sz w:val="32"/>
                <w:szCs w:val="32"/>
              </w:rPr>
            </w:pPr>
          </w:p>
        </w:tc>
      </w:tr>
      <w:tr>
        <w:tblPrEx>
          <w:tblCellMar>
            <w:top w:w="0" w:type="dxa"/>
            <w:left w:w="0" w:type="dxa"/>
            <w:bottom w:w="0" w:type="dxa"/>
            <w:right w:w="0" w:type="dxa"/>
          </w:tblCellMar>
        </w:tblPrEx>
        <w:trPr>
          <w:trHeight w:val="180" w:hRule="atLeast"/>
        </w:trPr>
        <w:tc>
          <w:tcPr>
            <w:tcW w:w="977"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4"/>
                <w:szCs w:val="24"/>
              </w:rPr>
            </w:pPr>
          </w:p>
        </w:tc>
        <w:tc>
          <w:tcPr>
            <w:tcW w:w="977"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4"/>
                <w:szCs w:val="24"/>
              </w:rPr>
            </w:pPr>
          </w:p>
        </w:tc>
        <w:tc>
          <w:tcPr>
            <w:tcW w:w="977"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4"/>
                <w:szCs w:val="24"/>
              </w:rPr>
            </w:pPr>
          </w:p>
        </w:tc>
        <w:tc>
          <w:tcPr>
            <w:tcW w:w="977"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4"/>
                <w:szCs w:val="24"/>
              </w:rPr>
            </w:pPr>
          </w:p>
        </w:tc>
        <w:tc>
          <w:tcPr>
            <w:tcW w:w="977"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4"/>
                <w:szCs w:val="24"/>
              </w:rPr>
            </w:pPr>
          </w:p>
        </w:tc>
        <w:tc>
          <w:tcPr>
            <w:tcW w:w="977"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4"/>
                <w:szCs w:val="24"/>
              </w:rPr>
            </w:pPr>
          </w:p>
        </w:tc>
        <w:tc>
          <w:tcPr>
            <w:tcW w:w="977"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4"/>
                <w:szCs w:val="24"/>
              </w:rPr>
            </w:pPr>
          </w:p>
        </w:tc>
        <w:tc>
          <w:tcPr>
            <w:tcW w:w="973"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4"/>
                <w:szCs w:val="24"/>
              </w:rPr>
            </w:pPr>
          </w:p>
        </w:tc>
        <w:tc>
          <w:tcPr>
            <w:tcW w:w="958"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4"/>
                <w:szCs w:val="24"/>
              </w:rPr>
            </w:pPr>
          </w:p>
        </w:tc>
      </w:tr>
      <w:tr>
        <w:tblPrEx>
          <w:tblCellMar>
            <w:top w:w="0" w:type="dxa"/>
            <w:left w:w="0" w:type="dxa"/>
            <w:bottom w:w="0" w:type="dxa"/>
            <w:right w:w="0" w:type="dxa"/>
          </w:tblCellMar>
        </w:tblPrEx>
        <w:trPr>
          <w:trHeight w:val="570" w:hRule="atLeast"/>
        </w:trPr>
        <w:tc>
          <w:tcPr>
            <w:tcW w:w="8769" w:type="dxa"/>
            <w:gridSpan w:val="9"/>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32"/>
                <w:szCs w:val="32"/>
              </w:rPr>
            </w:pPr>
            <w:r>
              <w:rPr>
                <w:rFonts w:hint="eastAsia" w:ascii="宋体" w:hAnsi="宋体" w:cs="宋体"/>
                <w:color w:val="000000"/>
                <w:kern w:val="0"/>
                <w:sz w:val="32"/>
                <w:szCs w:val="32"/>
              </w:rPr>
              <w:t>202</w:t>
            </w:r>
            <w:r>
              <w:rPr>
                <w:rFonts w:hint="eastAsia" w:ascii="宋体" w:hAnsi="宋体" w:cs="宋体"/>
                <w:color w:val="000000"/>
                <w:kern w:val="0"/>
                <w:sz w:val="32"/>
                <w:szCs w:val="32"/>
                <w:lang w:val="en-US" w:eastAsia="zh-CN"/>
              </w:rPr>
              <w:t>2</w:t>
            </w:r>
            <w:r>
              <w:rPr>
                <w:rFonts w:hint="eastAsia" w:ascii="宋体" w:hAnsi="宋体" w:cs="宋体"/>
                <w:color w:val="000000"/>
                <w:kern w:val="0"/>
                <w:sz w:val="32"/>
                <w:szCs w:val="32"/>
              </w:rPr>
              <w:t>年3月17日</w:t>
            </w:r>
          </w:p>
        </w:tc>
      </w:tr>
    </w:tbl>
    <w:p>
      <w:pPr>
        <w:jc w:val="center"/>
        <w:rPr>
          <w:rFonts w:ascii="黑体" w:eastAsia="黑体"/>
          <w:sz w:val="44"/>
          <w:szCs w:val="44"/>
        </w:rPr>
      </w:pPr>
      <w:r>
        <w:rPr>
          <w:rFonts w:hint="eastAsia" w:ascii="黑体" w:eastAsia="黑体"/>
          <w:sz w:val="44"/>
          <w:szCs w:val="44"/>
        </w:rPr>
        <w:t>目  录</w:t>
      </w:r>
    </w:p>
    <w:p>
      <w:pPr>
        <w:pStyle w:val="15"/>
        <w:tabs>
          <w:tab w:val="right" w:leader="dot" w:pos="8640"/>
        </w:tabs>
        <w:spacing w:line="360" w:lineRule="auto"/>
        <w:rPr>
          <w:rFonts w:asciiTheme="majorEastAsia" w:hAnsiTheme="majorEastAsia" w:eastAsiaTheme="majorEastAsia" w:cstheme="majorEastAsia"/>
          <w:sz w:val="24"/>
          <w:szCs w:val="24"/>
        </w:rPr>
      </w:pPr>
      <w:bookmarkStart w:id="0" w:name="_Toc3938_WPSOffice_Type2"/>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_Toc27590_WPSOffice_Level1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一、 项目资金情况</w:t>
      </w:r>
      <w:r>
        <w:rPr>
          <w:rFonts w:hint="eastAsia" w:asciiTheme="majorEastAsia" w:hAnsiTheme="majorEastAsia" w:eastAsiaTheme="majorEastAsia" w:cstheme="majorEastAsia"/>
          <w:sz w:val="24"/>
          <w:szCs w:val="24"/>
        </w:rPr>
        <w:tab/>
      </w:r>
      <w:bookmarkStart w:id="1" w:name="_Toc27590_WPSOffice_Level1Page"/>
      <w:r>
        <w:rPr>
          <w:rFonts w:hint="eastAsia" w:asciiTheme="majorEastAsia" w:hAnsiTheme="majorEastAsia" w:eastAsiaTheme="majorEastAsia" w:cstheme="majorEastAsia"/>
          <w:sz w:val="24"/>
          <w:szCs w:val="24"/>
        </w:rPr>
        <w:t>1</w:t>
      </w:r>
      <w:bookmarkEnd w:id="1"/>
      <w:r>
        <w:rPr>
          <w:rFonts w:hint="eastAsia" w:asciiTheme="majorEastAsia" w:hAnsiTheme="majorEastAsia" w:eastAsiaTheme="majorEastAsia" w:cstheme="majorEastAsia"/>
          <w:sz w:val="24"/>
          <w:szCs w:val="24"/>
        </w:rPr>
        <w:fldChar w:fldCharType="end"/>
      </w:r>
    </w:p>
    <w:p>
      <w:pPr>
        <w:pStyle w:val="15"/>
        <w:tabs>
          <w:tab w:val="right" w:leader="dot" w:pos="8640"/>
        </w:tabs>
        <w:spacing w:line="360" w:lineRule="auto"/>
        <w:rPr>
          <w:rFonts w:asciiTheme="majorEastAsia" w:hAnsiTheme="majorEastAsia" w:eastAsiaTheme="majorEastAsia" w:cstheme="majorEastAsia"/>
          <w:sz w:val="24"/>
          <w:szCs w:val="24"/>
        </w:rPr>
      </w:pPr>
      <w:r>
        <w:fldChar w:fldCharType="begin"/>
      </w:r>
      <w:r>
        <w:instrText xml:space="preserve"> HYPERLINK \l "_Toc4961_WPSOffice_Level1" </w:instrText>
      </w:r>
      <w:r>
        <w:fldChar w:fldCharType="separate"/>
      </w:r>
      <w:r>
        <w:rPr>
          <w:rFonts w:hint="eastAsia" w:asciiTheme="majorEastAsia" w:hAnsiTheme="majorEastAsia" w:eastAsiaTheme="majorEastAsia" w:cstheme="majorEastAsia"/>
          <w:sz w:val="24"/>
          <w:szCs w:val="24"/>
        </w:rPr>
        <w:t>二、 工作活动(项目)绩效目标情况</w:t>
      </w:r>
      <w:r>
        <w:rPr>
          <w:rFonts w:hint="eastAsia" w:asciiTheme="majorEastAsia" w:hAnsiTheme="majorEastAsia" w:eastAsiaTheme="majorEastAsia" w:cstheme="majorEastAsia"/>
          <w:sz w:val="24"/>
          <w:szCs w:val="24"/>
        </w:rPr>
        <w:tab/>
      </w:r>
      <w:bookmarkStart w:id="2" w:name="_Toc4961_WPSOffice_Level1Page"/>
      <w:r>
        <w:rPr>
          <w:rFonts w:hint="eastAsia" w:asciiTheme="majorEastAsia" w:hAnsiTheme="majorEastAsia" w:eastAsiaTheme="majorEastAsia" w:cstheme="majorEastAsia"/>
          <w:sz w:val="24"/>
          <w:szCs w:val="24"/>
        </w:rPr>
        <w:t>2</w:t>
      </w:r>
      <w:bookmarkEnd w:id="2"/>
      <w:r>
        <w:rPr>
          <w:rFonts w:hint="eastAsia" w:asciiTheme="majorEastAsia" w:hAnsiTheme="majorEastAsia" w:eastAsiaTheme="majorEastAsia" w:cstheme="majorEastAsia"/>
          <w:sz w:val="24"/>
          <w:szCs w:val="24"/>
        </w:rPr>
        <w:fldChar w:fldCharType="end"/>
      </w:r>
    </w:p>
    <w:p>
      <w:pPr>
        <w:pStyle w:val="15"/>
        <w:tabs>
          <w:tab w:val="right" w:leader="dot" w:pos="8640"/>
        </w:tabs>
        <w:spacing w:line="360" w:lineRule="auto"/>
        <w:rPr>
          <w:rFonts w:asciiTheme="majorEastAsia" w:hAnsiTheme="majorEastAsia" w:eastAsiaTheme="majorEastAsia" w:cstheme="majorEastAsia"/>
          <w:sz w:val="24"/>
          <w:szCs w:val="24"/>
        </w:rPr>
      </w:pPr>
      <w:r>
        <w:fldChar w:fldCharType="begin"/>
      </w:r>
      <w:r>
        <w:instrText xml:space="preserve"> HYPERLINK \l "_Toc19052_WPSOffice_Level1" </w:instrText>
      </w:r>
      <w:r>
        <w:fldChar w:fldCharType="separate"/>
      </w:r>
      <w:r>
        <w:rPr>
          <w:rFonts w:hint="eastAsia" w:asciiTheme="majorEastAsia" w:hAnsiTheme="majorEastAsia" w:eastAsiaTheme="majorEastAsia" w:cstheme="majorEastAsia"/>
          <w:sz w:val="24"/>
          <w:szCs w:val="24"/>
        </w:rPr>
        <w:t>三、 邢台市市级部门(单位)工作活动绩效评价共性指标</w:t>
      </w:r>
      <w:r>
        <w:rPr>
          <w:rFonts w:hint="eastAsia" w:asciiTheme="majorEastAsia" w:hAnsiTheme="majorEastAsia" w:eastAsiaTheme="majorEastAsia" w:cstheme="majorEastAsia"/>
          <w:sz w:val="24"/>
          <w:szCs w:val="24"/>
        </w:rPr>
        <w:tab/>
      </w:r>
      <w:bookmarkStart w:id="3" w:name="_Toc19052_WPSOffice_Level1Page"/>
      <w:r>
        <w:rPr>
          <w:rFonts w:hint="eastAsia" w:asciiTheme="majorEastAsia" w:hAnsiTheme="majorEastAsia" w:eastAsiaTheme="majorEastAsia" w:cstheme="majorEastAsia"/>
          <w:sz w:val="24"/>
          <w:szCs w:val="24"/>
        </w:rPr>
        <w:t>3</w:t>
      </w:r>
      <w:bookmarkEnd w:id="3"/>
      <w:r>
        <w:rPr>
          <w:rFonts w:hint="eastAsia" w:asciiTheme="majorEastAsia" w:hAnsiTheme="majorEastAsia" w:eastAsiaTheme="majorEastAsia" w:cstheme="majorEastAsia"/>
          <w:sz w:val="24"/>
          <w:szCs w:val="24"/>
        </w:rPr>
        <w:fldChar w:fldCharType="end"/>
      </w:r>
    </w:p>
    <w:p>
      <w:pPr>
        <w:pStyle w:val="15"/>
        <w:tabs>
          <w:tab w:val="right" w:leader="dot" w:pos="8640"/>
        </w:tabs>
        <w:spacing w:line="360" w:lineRule="auto"/>
        <w:rPr>
          <w:rFonts w:asciiTheme="majorEastAsia" w:hAnsiTheme="majorEastAsia" w:eastAsiaTheme="majorEastAsia" w:cstheme="majorEastAsia"/>
          <w:sz w:val="24"/>
          <w:szCs w:val="24"/>
        </w:rPr>
      </w:pPr>
      <w:r>
        <w:fldChar w:fldCharType="begin"/>
      </w:r>
      <w:r>
        <w:instrText xml:space="preserve"> HYPERLINK \l "_Toc24421_WPSOffice_Level1" </w:instrText>
      </w:r>
      <w:r>
        <w:fldChar w:fldCharType="separate"/>
      </w:r>
      <w:r>
        <w:rPr>
          <w:rFonts w:hint="eastAsia" w:asciiTheme="majorEastAsia" w:hAnsiTheme="majorEastAsia" w:eastAsiaTheme="majorEastAsia" w:cstheme="majorEastAsia"/>
          <w:sz w:val="24"/>
          <w:szCs w:val="24"/>
        </w:rPr>
        <w:t>四、工作活动(项目)绩效评价结论</w:t>
      </w:r>
      <w:r>
        <w:rPr>
          <w:rFonts w:hint="eastAsia" w:asciiTheme="majorEastAsia" w:hAnsiTheme="majorEastAsia" w:eastAsiaTheme="majorEastAsia" w:cstheme="majorEastAsia"/>
          <w:sz w:val="24"/>
          <w:szCs w:val="24"/>
        </w:rPr>
        <w:tab/>
      </w:r>
      <w:bookmarkStart w:id="4" w:name="_Toc24421_WPSOffice_Level1Page"/>
      <w:r>
        <w:rPr>
          <w:rFonts w:hint="eastAsia" w:asciiTheme="majorEastAsia" w:hAnsiTheme="majorEastAsia" w:eastAsiaTheme="majorEastAsia" w:cstheme="majorEastAsia"/>
          <w:sz w:val="24"/>
          <w:szCs w:val="24"/>
        </w:rPr>
        <w:t>6</w:t>
      </w:r>
      <w:bookmarkEnd w:id="4"/>
      <w:r>
        <w:rPr>
          <w:rFonts w:hint="eastAsia" w:asciiTheme="majorEastAsia" w:hAnsiTheme="majorEastAsia" w:eastAsiaTheme="majorEastAsia" w:cstheme="majorEastAsia"/>
          <w:sz w:val="24"/>
          <w:szCs w:val="24"/>
        </w:rPr>
        <w:fldChar w:fldCharType="end"/>
      </w:r>
    </w:p>
    <w:p>
      <w:pPr>
        <w:pStyle w:val="15"/>
        <w:tabs>
          <w:tab w:val="right" w:leader="dot" w:pos="8640"/>
        </w:tabs>
        <w:spacing w:line="360" w:lineRule="auto"/>
        <w:rPr>
          <w:rFonts w:asciiTheme="majorEastAsia" w:hAnsiTheme="majorEastAsia" w:eastAsiaTheme="majorEastAsia" w:cstheme="majorEastAsia"/>
          <w:sz w:val="24"/>
          <w:szCs w:val="24"/>
        </w:rPr>
      </w:pPr>
      <w:r>
        <w:fldChar w:fldCharType="begin"/>
      </w:r>
      <w:r>
        <w:instrText xml:space="preserve"> HYPERLINK \l "_Toc26399_WPSOffice_Level1" </w:instrText>
      </w:r>
      <w:r>
        <w:fldChar w:fldCharType="separate"/>
      </w:r>
      <w:r>
        <w:rPr>
          <w:rFonts w:hint="eastAsia" w:asciiTheme="majorEastAsia" w:hAnsiTheme="majorEastAsia" w:eastAsiaTheme="majorEastAsia" w:cstheme="majorEastAsia"/>
          <w:sz w:val="24"/>
          <w:szCs w:val="24"/>
        </w:rPr>
        <w:t>五、工作活动(项目)绩效自评报告（文字部分）</w:t>
      </w:r>
      <w:r>
        <w:rPr>
          <w:rFonts w:hint="eastAsia" w:asciiTheme="majorEastAsia" w:hAnsiTheme="majorEastAsia" w:eastAsiaTheme="majorEastAsia" w:cstheme="majorEastAsia"/>
          <w:sz w:val="24"/>
          <w:szCs w:val="24"/>
        </w:rPr>
        <w:tab/>
      </w:r>
      <w:bookmarkStart w:id="5" w:name="_Toc26399_WPSOffice_Level1Page"/>
      <w:r>
        <w:rPr>
          <w:rFonts w:hint="eastAsia" w:asciiTheme="majorEastAsia" w:hAnsiTheme="majorEastAsia" w:eastAsiaTheme="majorEastAsia" w:cstheme="majorEastAsia"/>
          <w:sz w:val="24"/>
          <w:szCs w:val="24"/>
        </w:rPr>
        <w:t>7</w:t>
      </w:r>
      <w:bookmarkEnd w:id="5"/>
      <w:r>
        <w:rPr>
          <w:rFonts w:hint="eastAsia" w:asciiTheme="majorEastAsia" w:hAnsiTheme="majorEastAsia" w:eastAsiaTheme="majorEastAsia" w:cstheme="majorEastAsia"/>
          <w:sz w:val="24"/>
          <w:szCs w:val="24"/>
        </w:rPr>
        <w:fldChar w:fldCharType="end"/>
      </w:r>
    </w:p>
    <w:p>
      <w:pPr>
        <w:pStyle w:val="15"/>
        <w:tabs>
          <w:tab w:val="right" w:leader="dot" w:pos="8640"/>
        </w:tabs>
        <w:spacing w:line="360" w:lineRule="auto"/>
        <w:ind w:firstLine="200" w:firstLineChars="100"/>
        <w:rPr>
          <w:rFonts w:asciiTheme="majorEastAsia" w:hAnsiTheme="majorEastAsia" w:eastAsiaTheme="majorEastAsia" w:cstheme="majorEastAsia"/>
          <w:sz w:val="24"/>
          <w:szCs w:val="24"/>
        </w:rPr>
      </w:pPr>
      <w:r>
        <w:fldChar w:fldCharType="begin"/>
      </w:r>
      <w:r>
        <w:instrText xml:space="preserve"> HYPERLINK \l "_Toc23853_WPSOffice_Level1" </w:instrText>
      </w:r>
      <w:r>
        <w:fldChar w:fldCharType="separate"/>
      </w:r>
      <w:r>
        <w:rPr>
          <w:rFonts w:hint="eastAsia" w:asciiTheme="majorEastAsia" w:hAnsiTheme="majorEastAsia" w:eastAsiaTheme="majorEastAsia" w:cstheme="majorEastAsia"/>
          <w:sz w:val="24"/>
          <w:szCs w:val="24"/>
        </w:rPr>
        <w:t>一、项目概况</w:t>
      </w:r>
      <w:r>
        <w:rPr>
          <w:rFonts w:hint="eastAsia" w:asciiTheme="majorEastAsia" w:hAnsiTheme="majorEastAsia" w:eastAsiaTheme="majorEastAsia" w:cstheme="majorEastAsia"/>
          <w:sz w:val="24"/>
          <w:szCs w:val="24"/>
        </w:rPr>
        <w:tab/>
      </w:r>
      <w:bookmarkStart w:id="6" w:name="_Toc23853_WPSOffice_Level1Page"/>
      <w:r>
        <w:rPr>
          <w:rFonts w:hint="eastAsia" w:asciiTheme="majorEastAsia" w:hAnsiTheme="majorEastAsia" w:eastAsiaTheme="majorEastAsia" w:cstheme="majorEastAsia"/>
          <w:sz w:val="24"/>
          <w:szCs w:val="24"/>
        </w:rPr>
        <w:t>7</w:t>
      </w:r>
      <w:bookmarkEnd w:id="6"/>
      <w:r>
        <w:rPr>
          <w:rFonts w:hint="eastAsia" w:asciiTheme="majorEastAsia" w:hAnsiTheme="majorEastAsia" w:eastAsiaTheme="majorEastAsia" w:cstheme="majorEastAsia"/>
          <w:sz w:val="24"/>
          <w:szCs w:val="24"/>
        </w:rPr>
        <w:fldChar w:fldCharType="end"/>
      </w:r>
    </w:p>
    <w:p>
      <w:pPr>
        <w:pStyle w:val="16"/>
        <w:tabs>
          <w:tab w:val="right" w:leader="dot" w:pos="8640"/>
        </w:tabs>
        <w:spacing w:line="360" w:lineRule="auto"/>
        <w:ind w:left="420"/>
        <w:rPr>
          <w:rFonts w:asciiTheme="majorEastAsia" w:hAnsiTheme="majorEastAsia" w:eastAsiaTheme="majorEastAsia" w:cstheme="majorEastAsia"/>
          <w:sz w:val="24"/>
          <w:szCs w:val="24"/>
        </w:rPr>
      </w:pPr>
      <w:r>
        <w:fldChar w:fldCharType="begin"/>
      </w:r>
      <w:r>
        <w:instrText xml:space="preserve"> HYPERLINK \l "_Toc28606_WPSOffice_Level2" </w:instrText>
      </w:r>
      <w:r>
        <w:fldChar w:fldCharType="separate"/>
      </w:r>
      <w:r>
        <w:rPr>
          <w:rFonts w:hint="eastAsia" w:asciiTheme="majorEastAsia" w:hAnsiTheme="majorEastAsia" w:eastAsiaTheme="majorEastAsia" w:cstheme="majorEastAsia"/>
          <w:sz w:val="24"/>
          <w:szCs w:val="24"/>
        </w:rPr>
        <w:t>（一）政府战略目标</w:t>
      </w:r>
      <w:r>
        <w:rPr>
          <w:rFonts w:hint="eastAsia" w:asciiTheme="majorEastAsia" w:hAnsiTheme="majorEastAsia" w:eastAsiaTheme="majorEastAsia" w:cstheme="majorEastAsia"/>
          <w:sz w:val="24"/>
          <w:szCs w:val="24"/>
        </w:rPr>
        <w:tab/>
      </w:r>
      <w:bookmarkStart w:id="7" w:name="_Toc28606_WPSOffice_Level2Page"/>
      <w:r>
        <w:rPr>
          <w:rFonts w:hint="eastAsia" w:asciiTheme="majorEastAsia" w:hAnsiTheme="majorEastAsia" w:eastAsiaTheme="majorEastAsia" w:cstheme="majorEastAsia"/>
          <w:sz w:val="24"/>
          <w:szCs w:val="24"/>
        </w:rPr>
        <w:t>7</w:t>
      </w:r>
      <w:bookmarkEnd w:id="7"/>
      <w:r>
        <w:rPr>
          <w:rFonts w:hint="eastAsia" w:asciiTheme="majorEastAsia" w:hAnsiTheme="majorEastAsia" w:eastAsiaTheme="majorEastAsia" w:cstheme="majorEastAsia"/>
          <w:sz w:val="24"/>
          <w:szCs w:val="24"/>
        </w:rPr>
        <w:fldChar w:fldCharType="end"/>
      </w:r>
    </w:p>
    <w:p>
      <w:pPr>
        <w:pStyle w:val="16"/>
        <w:tabs>
          <w:tab w:val="right" w:leader="dot" w:pos="8640"/>
        </w:tabs>
        <w:spacing w:line="360" w:lineRule="auto"/>
        <w:ind w:left="420"/>
        <w:rPr>
          <w:rFonts w:asciiTheme="majorEastAsia" w:hAnsiTheme="majorEastAsia" w:eastAsiaTheme="majorEastAsia" w:cstheme="majorEastAsia"/>
          <w:sz w:val="24"/>
          <w:szCs w:val="24"/>
        </w:rPr>
      </w:pPr>
      <w:r>
        <w:fldChar w:fldCharType="begin"/>
      </w:r>
      <w:r>
        <w:instrText xml:space="preserve"> HYPERLINK \l "_Toc17548_WPSOffice_Level2" </w:instrText>
      </w:r>
      <w:r>
        <w:fldChar w:fldCharType="separate"/>
      </w:r>
      <w:r>
        <w:rPr>
          <w:rFonts w:hint="eastAsia" w:asciiTheme="majorEastAsia" w:hAnsiTheme="majorEastAsia" w:eastAsiaTheme="majorEastAsia" w:cstheme="majorEastAsia"/>
          <w:sz w:val="24"/>
          <w:szCs w:val="24"/>
        </w:rPr>
        <w:t>（二）单位工作目标</w:t>
      </w:r>
      <w:r>
        <w:rPr>
          <w:rFonts w:hint="eastAsia" w:asciiTheme="majorEastAsia" w:hAnsiTheme="majorEastAsia" w:eastAsiaTheme="majorEastAsia" w:cstheme="majorEastAsia"/>
          <w:sz w:val="24"/>
          <w:szCs w:val="24"/>
        </w:rPr>
        <w:tab/>
      </w:r>
      <w:bookmarkStart w:id="8" w:name="_Toc17548_WPSOffice_Level2Page"/>
      <w:r>
        <w:rPr>
          <w:rFonts w:hint="eastAsia" w:asciiTheme="majorEastAsia" w:hAnsiTheme="majorEastAsia" w:eastAsiaTheme="majorEastAsia" w:cstheme="majorEastAsia"/>
          <w:sz w:val="24"/>
          <w:szCs w:val="24"/>
        </w:rPr>
        <w:t>7</w:t>
      </w:r>
      <w:bookmarkEnd w:id="8"/>
      <w:r>
        <w:rPr>
          <w:rFonts w:hint="eastAsia" w:asciiTheme="majorEastAsia" w:hAnsiTheme="majorEastAsia" w:eastAsiaTheme="majorEastAsia" w:cstheme="majorEastAsia"/>
          <w:sz w:val="24"/>
          <w:szCs w:val="24"/>
        </w:rPr>
        <w:fldChar w:fldCharType="end"/>
      </w:r>
    </w:p>
    <w:p>
      <w:pPr>
        <w:pStyle w:val="16"/>
        <w:tabs>
          <w:tab w:val="right" w:leader="dot" w:pos="8640"/>
        </w:tabs>
        <w:spacing w:line="360" w:lineRule="auto"/>
        <w:ind w:left="420"/>
        <w:rPr>
          <w:rFonts w:asciiTheme="majorEastAsia" w:hAnsiTheme="majorEastAsia" w:eastAsiaTheme="majorEastAsia" w:cstheme="majorEastAsia"/>
          <w:sz w:val="24"/>
          <w:szCs w:val="24"/>
        </w:rPr>
      </w:pPr>
      <w:r>
        <w:fldChar w:fldCharType="begin"/>
      </w:r>
      <w:r>
        <w:instrText xml:space="preserve"> HYPERLINK \l "_Toc8339_WPSOffice_Level2" </w:instrText>
      </w:r>
      <w:r>
        <w:fldChar w:fldCharType="separate"/>
      </w:r>
      <w:r>
        <w:rPr>
          <w:rFonts w:hint="eastAsia" w:asciiTheme="majorEastAsia" w:hAnsiTheme="majorEastAsia" w:eastAsiaTheme="majorEastAsia" w:cstheme="majorEastAsia"/>
          <w:sz w:val="24"/>
          <w:szCs w:val="24"/>
        </w:rPr>
        <w:t>（三）项目基本情况</w:t>
      </w:r>
      <w:r>
        <w:rPr>
          <w:rFonts w:hint="eastAsia" w:asciiTheme="majorEastAsia" w:hAnsiTheme="majorEastAsia" w:eastAsiaTheme="majorEastAsia" w:cstheme="majorEastAsia"/>
          <w:sz w:val="24"/>
          <w:szCs w:val="24"/>
        </w:rPr>
        <w:tab/>
      </w:r>
      <w:bookmarkStart w:id="9" w:name="_Toc8339_WPSOffice_Level2Page"/>
      <w:r>
        <w:rPr>
          <w:rFonts w:hint="eastAsia" w:asciiTheme="majorEastAsia" w:hAnsiTheme="majorEastAsia" w:eastAsiaTheme="majorEastAsia" w:cstheme="majorEastAsia"/>
          <w:sz w:val="24"/>
          <w:szCs w:val="24"/>
        </w:rPr>
        <w:t>7</w:t>
      </w:r>
      <w:bookmarkEnd w:id="9"/>
      <w:r>
        <w:rPr>
          <w:rFonts w:hint="eastAsia" w:asciiTheme="majorEastAsia" w:hAnsiTheme="majorEastAsia" w:eastAsiaTheme="majorEastAsia" w:cstheme="majorEastAsia"/>
          <w:sz w:val="24"/>
          <w:szCs w:val="24"/>
        </w:rPr>
        <w:fldChar w:fldCharType="end"/>
      </w:r>
    </w:p>
    <w:p>
      <w:pPr>
        <w:pStyle w:val="15"/>
        <w:tabs>
          <w:tab w:val="right" w:leader="dot" w:pos="8640"/>
        </w:tabs>
        <w:spacing w:line="360" w:lineRule="auto"/>
        <w:ind w:firstLine="200" w:firstLineChars="100"/>
        <w:rPr>
          <w:rFonts w:asciiTheme="majorEastAsia" w:hAnsiTheme="majorEastAsia" w:eastAsiaTheme="majorEastAsia" w:cstheme="majorEastAsia"/>
          <w:sz w:val="24"/>
          <w:szCs w:val="24"/>
        </w:rPr>
      </w:pPr>
      <w:r>
        <w:fldChar w:fldCharType="begin"/>
      </w:r>
      <w:r>
        <w:instrText xml:space="preserve"> HYPERLINK \l "_Toc15704_WPSOffice_Level1" </w:instrText>
      </w:r>
      <w:r>
        <w:fldChar w:fldCharType="separate"/>
      </w:r>
      <w:r>
        <w:rPr>
          <w:rFonts w:hint="eastAsia" w:asciiTheme="majorEastAsia" w:hAnsiTheme="majorEastAsia" w:eastAsiaTheme="majorEastAsia" w:cstheme="majorEastAsia"/>
          <w:sz w:val="24"/>
          <w:szCs w:val="24"/>
        </w:rPr>
        <w:t>二、项目绩效目标和指标设定情况</w:t>
      </w:r>
      <w:r>
        <w:rPr>
          <w:rFonts w:hint="eastAsia" w:asciiTheme="majorEastAsia" w:hAnsiTheme="majorEastAsia" w:eastAsiaTheme="majorEastAsia" w:cstheme="majorEastAsia"/>
          <w:sz w:val="24"/>
          <w:szCs w:val="24"/>
        </w:rPr>
        <w:tab/>
      </w:r>
      <w:bookmarkStart w:id="10" w:name="_Toc15704_WPSOffice_Level1Page"/>
      <w:r>
        <w:rPr>
          <w:rFonts w:hint="eastAsia" w:asciiTheme="majorEastAsia" w:hAnsiTheme="majorEastAsia" w:eastAsiaTheme="majorEastAsia" w:cstheme="majorEastAsia"/>
          <w:sz w:val="24"/>
          <w:szCs w:val="24"/>
        </w:rPr>
        <w:t>8</w:t>
      </w:r>
      <w:bookmarkEnd w:id="10"/>
      <w:r>
        <w:rPr>
          <w:rFonts w:hint="eastAsia" w:asciiTheme="majorEastAsia" w:hAnsiTheme="majorEastAsia" w:eastAsiaTheme="majorEastAsia" w:cstheme="majorEastAsia"/>
          <w:sz w:val="24"/>
          <w:szCs w:val="24"/>
        </w:rPr>
        <w:fldChar w:fldCharType="end"/>
      </w:r>
    </w:p>
    <w:p>
      <w:pPr>
        <w:pStyle w:val="16"/>
        <w:tabs>
          <w:tab w:val="right" w:leader="dot" w:pos="8640"/>
        </w:tabs>
        <w:spacing w:line="360" w:lineRule="auto"/>
        <w:ind w:left="420"/>
        <w:rPr>
          <w:rFonts w:asciiTheme="majorEastAsia" w:hAnsiTheme="majorEastAsia" w:eastAsiaTheme="majorEastAsia" w:cstheme="majorEastAsia"/>
          <w:sz w:val="24"/>
          <w:szCs w:val="24"/>
        </w:rPr>
      </w:pPr>
      <w:r>
        <w:fldChar w:fldCharType="begin"/>
      </w:r>
      <w:r>
        <w:instrText xml:space="preserve"> HYPERLINK \l "_Toc21486_WPSOffice_Level2" </w:instrText>
      </w:r>
      <w:r>
        <w:fldChar w:fldCharType="separate"/>
      </w:r>
      <w:r>
        <w:rPr>
          <w:rFonts w:hint="eastAsia" w:asciiTheme="majorEastAsia" w:hAnsiTheme="majorEastAsia" w:eastAsiaTheme="majorEastAsia" w:cstheme="majorEastAsia"/>
          <w:sz w:val="24"/>
          <w:szCs w:val="24"/>
        </w:rPr>
        <w:t>（一）项目总目标、年度目标设定情况</w:t>
      </w:r>
      <w:r>
        <w:rPr>
          <w:rFonts w:hint="eastAsia" w:asciiTheme="majorEastAsia" w:hAnsiTheme="majorEastAsia" w:eastAsiaTheme="majorEastAsia" w:cstheme="majorEastAsia"/>
          <w:sz w:val="24"/>
          <w:szCs w:val="24"/>
        </w:rPr>
        <w:tab/>
      </w:r>
      <w:bookmarkStart w:id="11" w:name="_Toc21486_WPSOffice_Level2Page"/>
      <w:r>
        <w:rPr>
          <w:rFonts w:hint="eastAsia" w:asciiTheme="majorEastAsia" w:hAnsiTheme="majorEastAsia" w:eastAsiaTheme="majorEastAsia" w:cstheme="majorEastAsia"/>
          <w:sz w:val="24"/>
          <w:szCs w:val="24"/>
        </w:rPr>
        <w:t>8</w:t>
      </w:r>
      <w:bookmarkEnd w:id="11"/>
      <w:r>
        <w:rPr>
          <w:rFonts w:hint="eastAsia" w:asciiTheme="majorEastAsia" w:hAnsiTheme="majorEastAsia" w:eastAsiaTheme="majorEastAsia" w:cstheme="majorEastAsia"/>
          <w:sz w:val="24"/>
          <w:szCs w:val="24"/>
        </w:rPr>
        <w:fldChar w:fldCharType="end"/>
      </w:r>
    </w:p>
    <w:p>
      <w:pPr>
        <w:pStyle w:val="16"/>
        <w:tabs>
          <w:tab w:val="right" w:leader="dot" w:pos="8640"/>
        </w:tabs>
        <w:spacing w:line="360" w:lineRule="auto"/>
        <w:ind w:left="420"/>
        <w:rPr>
          <w:rFonts w:asciiTheme="majorEastAsia" w:hAnsiTheme="majorEastAsia" w:eastAsiaTheme="majorEastAsia" w:cstheme="majorEastAsia"/>
          <w:sz w:val="24"/>
          <w:szCs w:val="24"/>
        </w:rPr>
      </w:pPr>
      <w:r>
        <w:fldChar w:fldCharType="begin"/>
      </w:r>
      <w:r>
        <w:instrText xml:space="preserve"> HYPERLINK \l "_Toc2861_WPSOffice_Level2" </w:instrText>
      </w:r>
      <w:r>
        <w:fldChar w:fldCharType="separate"/>
      </w:r>
      <w:r>
        <w:rPr>
          <w:rFonts w:hint="eastAsia" w:asciiTheme="majorEastAsia" w:hAnsiTheme="majorEastAsia" w:eastAsiaTheme="majorEastAsia" w:cstheme="majorEastAsia"/>
          <w:sz w:val="24"/>
          <w:szCs w:val="24"/>
        </w:rPr>
        <w:t>（二）项目绩效指标设定情况</w:t>
      </w:r>
      <w:r>
        <w:rPr>
          <w:rFonts w:hint="eastAsia" w:asciiTheme="majorEastAsia" w:hAnsiTheme="majorEastAsia" w:eastAsiaTheme="majorEastAsia" w:cstheme="majorEastAsia"/>
          <w:sz w:val="24"/>
          <w:szCs w:val="24"/>
        </w:rPr>
        <w:tab/>
      </w:r>
      <w:bookmarkStart w:id="12" w:name="_Toc2861_WPSOffice_Level2Page"/>
      <w:r>
        <w:rPr>
          <w:rFonts w:hint="eastAsia" w:asciiTheme="majorEastAsia" w:hAnsiTheme="majorEastAsia" w:eastAsiaTheme="majorEastAsia" w:cstheme="majorEastAsia"/>
          <w:sz w:val="24"/>
          <w:szCs w:val="24"/>
        </w:rPr>
        <w:t>8</w:t>
      </w:r>
      <w:bookmarkEnd w:id="12"/>
      <w:r>
        <w:rPr>
          <w:rFonts w:hint="eastAsia" w:asciiTheme="majorEastAsia" w:hAnsiTheme="majorEastAsia" w:eastAsiaTheme="majorEastAsia" w:cstheme="majorEastAsia"/>
          <w:sz w:val="24"/>
          <w:szCs w:val="24"/>
        </w:rPr>
        <w:fldChar w:fldCharType="end"/>
      </w:r>
    </w:p>
    <w:p>
      <w:pPr>
        <w:pStyle w:val="15"/>
        <w:tabs>
          <w:tab w:val="right" w:leader="dot" w:pos="8640"/>
        </w:tabs>
        <w:spacing w:line="360" w:lineRule="auto"/>
        <w:ind w:firstLine="200" w:firstLineChars="100"/>
        <w:rPr>
          <w:rFonts w:asciiTheme="majorEastAsia" w:hAnsiTheme="majorEastAsia" w:eastAsiaTheme="majorEastAsia" w:cstheme="majorEastAsia"/>
          <w:sz w:val="24"/>
          <w:szCs w:val="24"/>
        </w:rPr>
      </w:pPr>
      <w:r>
        <w:fldChar w:fldCharType="begin"/>
      </w:r>
      <w:r>
        <w:instrText xml:space="preserve"> HYPERLINK \l "_Toc28507_WPSOffice_Level1" </w:instrText>
      </w:r>
      <w:r>
        <w:fldChar w:fldCharType="separate"/>
      </w:r>
      <w:r>
        <w:rPr>
          <w:rFonts w:hint="eastAsia" w:asciiTheme="majorEastAsia" w:hAnsiTheme="majorEastAsia" w:eastAsiaTheme="majorEastAsia" w:cstheme="majorEastAsia"/>
          <w:sz w:val="24"/>
          <w:szCs w:val="24"/>
        </w:rPr>
        <w:t>三、项目实施绩效管理情况及取得成绩</w:t>
      </w:r>
      <w:r>
        <w:rPr>
          <w:rFonts w:hint="eastAsia" w:asciiTheme="majorEastAsia" w:hAnsiTheme="majorEastAsia" w:eastAsiaTheme="majorEastAsia" w:cstheme="majorEastAsia"/>
          <w:sz w:val="24"/>
          <w:szCs w:val="24"/>
        </w:rPr>
        <w:tab/>
      </w:r>
      <w:bookmarkStart w:id="13" w:name="_Toc28507_WPSOffice_Level1Page"/>
      <w:r>
        <w:rPr>
          <w:rFonts w:hint="eastAsia" w:asciiTheme="majorEastAsia" w:hAnsiTheme="majorEastAsia" w:eastAsiaTheme="majorEastAsia" w:cstheme="majorEastAsia"/>
          <w:sz w:val="24"/>
          <w:szCs w:val="24"/>
        </w:rPr>
        <w:t>8</w:t>
      </w:r>
      <w:bookmarkEnd w:id="13"/>
      <w:r>
        <w:rPr>
          <w:rFonts w:hint="eastAsia" w:asciiTheme="majorEastAsia" w:hAnsiTheme="majorEastAsia" w:eastAsiaTheme="majorEastAsia" w:cstheme="majorEastAsia"/>
          <w:sz w:val="24"/>
          <w:szCs w:val="24"/>
        </w:rPr>
        <w:fldChar w:fldCharType="end"/>
      </w:r>
    </w:p>
    <w:p>
      <w:pPr>
        <w:pStyle w:val="16"/>
        <w:tabs>
          <w:tab w:val="right" w:leader="dot" w:pos="8640"/>
        </w:tabs>
        <w:spacing w:line="360" w:lineRule="auto"/>
        <w:ind w:left="420"/>
        <w:rPr>
          <w:rFonts w:asciiTheme="majorEastAsia" w:hAnsiTheme="majorEastAsia" w:eastAsiaTheme="majorEastAsia" w:cstheme="majorEastAsia"/>
          <w:sz w:val="24"/>
          <w:szCs w:val="24"/>
        </w:rPr>
      </w:pPr>
      <w:r>
        <w:fldChar w:fldCharType="begin"/>
      </w:r>
      <w:r>
        <w:instrText xml:space="preserve"> HYPERLINK \l "_Toc29761_WPSOffice_Level2" </w:instrText>
      </w:r>
      <w:r>
        <w:fldChar w:fldCharType="separate"/>
      </w:r>
      <w:r>
        <w:rPr>
          <w:rFonts w:hint="eastAsia" w:asciiTheme="majorEastAsia" w:hAnsiTheme="majorEastAsia" w:eastAsiaTheme="majorEastAsia" w:cstheme="majorEastAsia"/>
          <w:sz w:val="24"/>
          <w:szCs w:val="24"/>
        </w:rPr>
        <w:t>（一）计划制定和落实情况</w:t>
      </w:r>
      <w:r>
        <w:rPr>
          <w:rFonts w:hint="eastAsia" w:asciiTheme="majorEastAsia" w:hAnsiTheme="majorEastAsia" w:eastAsiaTheme="majorEastAsia" w:cstheme="majorEastAsia"/>
          <w:sz w:val="24"/>
          <w:szCs w:val="24"/>
        </w:rPr>
        <w:tab/>
      </w:r>
      <w:bookmarkStart w:id="14" w:name="_Toc29761_WPSOffice_Level2Page"/>
      <w:r>
        <w:rPr>
          <w:rFonts w:hint="eastAsia" w:asciiTheme="majorEastAsia" w:hAnsiTheme="majorEastAsia" w:eastAsiaTheme="majorEastAsia" w:cstheme="majorEastAsia"/>
          <w:sz w:val="24"/>
          <w:szCs w:val="24"/>
        </w:rPr>
        <w:t>8</w:t>
      </w:r>
      <w:bookmarkEnd w:id="14"/>
      <w:r>
        <w:rPr>
          <w:rFonts w:hint="eastAsia" w:asciiTheme="majorEastAsia" w:hAnsiTheme="majorEastAsia" w:eastAsiaTheme="majorEastAsia" w:cstheme="majorEastAsia"/>
          <w:sz w:val="24"/>
          <w:szCs w:val="24"/>
        </w:rPr>
        <w:fldChar w:fldCharType="end"/>
      </w:r>
    </w:p>
    <w:p>
      <w:pPr>
        <w:pStyle w:val="16"/>
        <w:tabs>
          <w:tab w:val="right" w:leader="dot" w:pos="8640"/>
        </w:tabs>
        <w:spacing w:line="360" w:lineRule="auto"/>
        <w:ind w:left="420"/>
        <w:rPr>
          <w:rFonts w:asciiTheme="majorEastAsia" w:hAnsiTheme="majorEastAsia" w:eastAsiaTheme="majorEastAsia" w:cstheme="majorEastAsia"/>
          <w:sz w:val="24"/>
          <w:szCs w:val="24"/>
        </w:rPr>
      </w:pPr>
      <w:r>
        <w:fldChar w:fldCharType="begin"/>
      </w:r>
      <w:r>
        <w:instrText xml:space="preserve"> HYPERLINK \l "_Toc9130_WPSOffice_Level2" </w:instrText>
      </w:r>
      <w:r>
        <w:fldChar w:fldCharType="separate"/>
      </w:r>
      <w:r>
        <w:rPr>
          <w:rFonts w:hint="eastAsia" w:asciiTheme="majorEastAsia" w:hAnsiTheme="majorEastAsia" w:eastAsiaTheme="majorEastAsia" w:cstheme="majorEastAsia"/>
          <w:sz w:val="24"/>
          <w:szCs w:val="24"/>
        </w:rPr>
        <w:t>（二）执行绩效监控情况</w:t>
      </w:r>
      <w:r>
        <w:rPr>
          <w:rFonts w:hint="eastAsia" w:asciiTheme="majorEastAsia" w:hAnsiTheme="majorEastAsia" w:eastAsiaTheme="majorEastAsia" w:cstheme="majorEastAsia"/>
          <w:sz w:val="24"/>
          <w:szCs w:val="24"/>
        </w:rPr>
        <w:tab/>
      </w:r>
      <w:bookmarkStart w:id="15" w:name="_Toc9130_WPSOffice_Level2Page"/>
      <w:r>
        <w:rPr>
          <w:rFonts w:hint="eastAsia" w:asciiTheme="majorEastAsia" w:hAnsiTheme="majorEastAsia" w:eastAsiaTheme="majorEastAsia" w:cstheme="majorEastAsia"/>
          <w:sz w:val="24"/>
          <w:szCs w:val="24"/>
        </w:rPr>
        <w:t>9</w:t>
      </w:r>
      <w:bookmarkEnd w:id="15"/>
      <w:r>
        <w:rPr>
          <w:rFonts w:hint="eastAsia" w:asciiTheme="majorEastAsia" w:hAnsiTheme="majorEastAsia" w:eastAsiaTheme="majorEastAsia" w:cstheme="majorEastAsia"/>
          <w:sz w:val="24"/>
          <w:szCs w:val="24"/>
        </w:rPr>
        <w:fldChar w:fldCharType="end"/>
      </w:r>
    </w:p>
    <w:p>
      <w:pPr>
        <w:pStyle w:val="16"/>
        <w:tabs>
          <w:tab w:val="right" w:leader="dot" w:pos="8640"/>
        </w:tabs>
        <w:spacing w:line="360" w:lineRule="auto"/>
        <w:ind w:left="420"/>
        <w:rPr>
          <w:rFonts w:asciiTheme="majorEastAsia" w:hAnsiTheme="majorEastAsia" w:eastAsiaTheme="majorEastAsia" w:cstheme="majorEastAsia"/>
          <w:sz w:val="24"/>
          <w:szCs w:val="24"/>
        </w:rPr>
      </w:pPr>
      <w:r>
        <w:fldChar w:fldCharType="begin"/>
      </w:r>
      <w:r>
        <w:instrText xml:space="preserve"> HYPERLINK \l "_Toc9170_WPSOffice_Level2" </w:instrText>
      </w:r>
      <w:r>
        <w:fldChar w:fldCharType="separate"/>
      </w:r>
      <w:r>
        <w:rPr>
          <w:rFonts w:hint="eastAsia" w:asciiTheme="majorEastAsia" w:hAnsiTheme="majorEastAsia" w:eastAsiaTheme="majorEastAsia" w:cstheme="majorEastAsia"/>
          <w:sz w:val="24"/>
          <w:szCs w:val="24"/>
        </w:rPr>
        <w:t>（三）资金管理情况</w:t>
      </w:r>
      <w:r>
        <w:rPr>
          <w:rFonts w:hint="eastAsia" w:asciiTheme="majorEastAsia" w:hAnsiTheme="majorEastAsia" w:eastAsiaTheme="majorEastAsia" w:cstheme="majorEastAsia"/>
          <w:sz w:val="24"/>
          <w:szCs w:val="24"/>
        </w:rPr>
        <w:tab/>
      </w:r>
      <w:bookmarkStart w:id="16" w:name="_Toc9170_WPSOffice_Level2Page"/>
      <w:r>
        <w:rPr>
          <w:rFonts w:hint="eastAsia" w:asciiTheme="majorEastAsia" w:hAnsiTheme="majorEastAsia" w:eastAsiaTheme="majorEastAsia" w:cstheme="majorEastAsia"/>
          <w:sz w:val="24"/>
          <w:szCs w:val="24"/>
        </w:rPr>
        <w:t>9</w:t>
      </w:r>
      <w:bookmarkEnd w:id="16"/>
      <w:r>
        <w:rPr>
          <w:rFonts w:hint="eastAsia" w:asciiTheme="majorEastAsia" w:hAnsiTheme="majorEastAsia" w:eastAsiaTheme="majorEastAsia" w:cstheme="majorEastAsia"/>
          <w:sz w:val="24"/>
          <w:szCs w:val="24"/>
        </w:rPr>
        <w:fldChar w:fldCharType="end"/>
      </w:r>
    </w:p>
    <w:p>
      <w:pPr>
        <w:pStyle w:val="16"/>
        <w:tabs>
          <w:tab w:val="right" w:leader="dot" w:pos="8640"/>
        </w:tabs>
        <w:spacing w:line="360" w:lineRule="auto"/>
        <w:ind w:left="420"/>
        <w:rPr>
          <w:rFonts w:asciiTheme="majorEastAsia" w:hAnsiTheme="majorEastAsia" w:eastAsiaTheme="majorEastAsia" w:cstheme="majorEastAsia"/>
          <w:sz w:val="24"/>
          <w:szCs w:val="24"/>
        </w:rPr>
      </w:pPr>
      <w:r>
        <w:fldChar w:fldCharType="begin"/>
      </w:r>
      <w:r>
        <w:instrText xml:space="preserve"> HYPERLINK \l "_Toc24104_WPSOffice_Level2" </w:instrText>
      </w:r>
      <w:r>
        <w:fldChar w:fldCharType="separate"/>
      </w:r>
      <w:r>
        <w:rPr>
          <w:rFonts w:hint="eastAsia" w:asciiTheme="majorEastAsia" w:hAnsiTheme="majorEastAsia" w:eastAsiaTheme="majorEastAsia" w:cstheme="majorEastAsia"/>
          <w:sz w:val="24"/>
          <w:szCs w:val="24"/>
        </w:rPr>
        <w:t>（四）绩效管理制度建设及执行情况</w:t>
      </w:r>
      <w:r>
        <w:rPr>
          <w:rFonts w:hint="eastAsia" w:asciiTheme="majorEastAsia" w:hAnsiTheme="majorEastAsia" w:eastAsiaTheme="majorEastAsia" w:cstheme="majorEastAsia"/>
          <w:sz w:val="24"/>
          <w:szCs w:val="24"/>
        </w:rPr>
        <w:tab/>
      </w:r>
      <w:bookmarkStart w:id="17" w:name="_Toc24104_WPSOffice_Level2Page"/>
      <w:r>
        <w:rPr>
          <w:rFonts w:hint="eastAsia" w:asciiTheme="majorEastAsia" w:hAnsiTheme="majorEastAsia" w:eastAsiaTheme="majorEastAsia" w:cstheme="majorEastAsia"/>
          <w:sz w:val="24"/>
          <w:szCs w:val="24"/>
        </w:rPr>
        <w:t>9</w:t>
      </w:r>
      <w:bookmarkEnd w:id="17"/>
      <w:r>
        <w:rPr>
          <w:rFonts w:hint="eastAsia" w:asciiTheme="majorEastAsia" w:hAnsiTheme="majorEastAsia" w:eastAsiaTheme="majorEastAsia" w:cstheme="majorEastAsia"/>
          <w:sz w:val="24"/>
          <w:szCs w:val="24"/>
        </w:rPr>
        <w:fldChar w:fldCharType="end"/>
      </w:r>
    </w:p>
    <w:p>
      <w:pPr>
        <w:pStyle w:val="16"/>
        <w:tabs>
          <w:tab w:val="right" w:leader="dot" w:pos="8640"/>
        </w:tabs>
        <w:spacing w:line="360" w:lineRule="auto"/>
        <w:ind w:left="420"/>
        <w:rPr>
          <w:rFonts w:asciiTheme="majorEastAsia" w:hAnsiTheme="majorEastAsia" w:eastAsiaTheme="majorEastAsia" w:cstheme="majorEastAsia"/>
          <w:sz w:val="24"/>
          <w:szCs w:val="24"/>
        </w:rPr>
      </w:pPr>
      <w:r>
        <w:fldChar w:fldCharType="begin"/>
      </w:r>
      <w:r>
        <w:instrText xml:space="preserve"> HYPERLINK \l "_Toc3308_WPSOffice_Level2" </w:instrText>
      </w:r>
      <w:r>
        <w:fldChar w:fldCharType="separate"/>
      </w:r>
      <w:r>
        <w:rPr>
          <w:rFonts w:hint="eastAsia" w:asciiTheme="majorEastAsia" w:hAnsiTheme="majorEastAsia" w:eastAsiaTheme="majorEastAsia" w:cstheme="majorEastAsia"/>
          <w:sz w:val="24"/>
          <w:szCs w:val="24"/>
        </w:rPr>
        <w:t>（五）风险管理情况</w:t>
      </w:r>
      <w:r>
        <w:rPr>
          <w:rFonts w:hint="eastAsia" w:asciiTheme="majorEastAsia" w:hAnsiTheme="majorEastAsia" w:eastAsiaTheme="majorEastAsia" w:cstheme="majorEastAsia"/>
          <w:sz w:val="24"/>
          <w:szCs w:val="24"/>
        </w:rPr>
        <w:tab/>
      </w:r>
      <w:bookmarkStart w:id="18" w:name="_Toc3308_WPSOffice_Level2Page"/>
      <w:r>
        <w:rPr>
          <w:rFonts w:hint="eastAsia" w:asciiTheme="majorEastAsia" w:hAnsiTheme="majorEastAsia" w:eastAsiaTheme="majorEastAsia" w:cstheme="majorEastAsia"/>
          <w:sz w:val="24"/>
          <w:szCs w:val="24"/>
        </w:rPr>
        <w:t>9</w:t>
      </w:r>
      <w:bookmarkEnd w:id="18"/>
      <w:r>
        <w:rPr>
          <w:rFonts w:hint="eastAsia" w:asciiTheme="majorEastAsia" w:hAnsiTheme="majorEastAsia" w:eastAsiaTheme="majorEastAsia" w:cstheme="majorEastAsia"/>
          <w:sz w:val="24"/>
          <w:szCs w:val="24"/>
        </w:rPr>
        <w:fldChar w:fldCharType="end"/>
      </w:r>
    </w:p>
    <w:p>
      <w:pPr>
        <w:pStyle w:val="15"/>
        <w:tabs>
          <w:tab w:val="right" w:leader="dot" w:pos="8640"/>
        </w:tabs>
        <w:spacing w:line="360" w:lineRule="auto"/>
        <w:ind w:firstLine="200" w:firstLineChars="100"/>
        <w:rPr>
          <w:rFonts w:asciiTheme="majorEastAsia" w:hAnsiTheme="majorEastAsia" w:eastAsiaTheme="majorEastAsia" w:cstheme="majorEastAsia"/>
          <w:sz w:val="24"/>
          <w:szCs w:val="24"/>
        </w:rPr>
      </w:pPr>
      <w:r>
        <w:fldChar w:fldCharType="begin"/>
      </w:r>
      <w:r>
        <w:instrText xml:space="preserve"> HYPERLINK \l "_Toc31932_WPSOffice_Level1" </w:instrText>
      </w:r>
      <w:r>
        <w:fldChar w:fldCharType="separate"/>
      </w:r>
      <w:r>
        <w:rPr>
          <w:rFonts w:hint="eastAsia" w:asciiTheme="majorEastAsia" w:hAnsiTheme="majorEastAsia" w:eastAsiaTheme="majorEastAsia" w:cstheme="majorEastAsia"/>
          <w:sz w:val="24"/>
          <w:szCs w:val="24"/>
        </w:rPr>
        <w:t>四、项目绩效自评情况</w:t>
      </w:r>
      <w:r>
        <w:rPr>
          <w:rFonts w:hint="eastAsia" w:asciiTheme="majorEastAsia" w:hAnsiTheme="majorEastAsia" w:eastAsiaTheme="majorEastAsia" w:cstheme="majorEastAsia"/>
          <w:sz w:val="24"/>
          <w:szCs w:val="24"/>
        </w:rPr>
        <w:tab/>
      </w:r>
      <w:bookmarkStart w:id="19" w:name="_Toc31932_WPSOffice_Level1Page"/>
      <w:r>
        <w:rPr>
          <w:rFonts w:hint="eastAsia" w:asciiTheme="majorEastAsia" w:hAnsiTheme="majorEastAsia" w:eastAsiaTheme="majorEastAsia" w:cstheme="majorEastAsia"/>
          <w:sz w:val="24"/>
          <w:szCs w:val="24"/>
        </w:rPr>
        <w:t>10</w:t>
      </w:r>
      <w:bookmarkEnd w:id="19"/>
      <w:r>
        <w:rPr>
          <w:rFonts w:hint="eastAsia" w:asciiTheme="majorEastAsia" w:hAnsiTheme="majorEastAsia" w:eastAsiaTheme="majorEastAsia" w:cstheme="majorEastAsia"/>
          <w:sz w:val="24"/>
          <w:szCs w:val="24"/>
        </w:rPr>
        <w:fldChar w:fldCharType="end"/>
      </w:r>
    </w:p>
    <w:p>
      <w:pPr>
        <w:pStyle w:val="16"/>
        <w:tabs>
          <w:tab w:val="right" w:leader="dot" w:pos="8640"/>
        </w:tabs>
        <w:spacing w:line="360" w:lineRule="auto"/>
        <w:ind w:left="420"/>
        <w:rPr>
          <w:rFonts w:asciiTheme="majorEastAsia" w:hAnsiTheme="majorEastAsia" w:eastAsiaTheme="majorEastAsia" w:cstheme="majorEastAsia"/>
          <w:sz w:val="24"/>
          <w:szCs w:val="24"/>
        </w:rPr>
      </w:pPr>
      <w:r>
        <w:fldChar w:fldCharType="begin"/>
      </w:r>
      <w:r>
        <w:instrText xml:space="preserve"> HYPERLINK \l "_Toc14504_WPSOffice_Level2" </w:instrText>
      </w:r>
      <w:r>
        <w:fldChar w:fldCharType="separate"/>
      </w:r>
      <w:r>
        <w:rPr>
          <w:rFonts w:hint="eastAsia" w:asciiTheme="majorEastAsia" w:hAnsiTheme="majorEastAsia" w:eastAsiaTheme="majorEastAsia" w:cstheme="majorEastAsia"/>
          <w:sz w:val="24"/>
          <w:szCs w:val="24"/>
        </w:rPr>
        <w:t>（一）项目自评组织情况</w:t>
      </w:r>
      <w:r>
        <w:rPr>
          <w:rFonts w:hint="eastAsia" w:asciiTheme="majorEastAsia" w:hAnsiTheme="majorEastAsia" w:eastAsiaTheme="majorEastAsia" w:cstheme="majorEastAsia"/>
          <w:sz w:val="24"/>
          <w:szCs w:val="24"/>
        </w:rPr>
        <w:tab/>
      </w:r>
      <w:bookmarkStart w:id="20" w:name="_Toc14504_WPSOffice_Level2Page"/>
      <w:r>
        <w:rPr>
          <w:rFonts w:hint="eastAsia" w:asciiTheme="majorEastAsia" w:hAnsiTheme="majorEastAsia" w:eastAsiaTheme="majorEastAsia" w:cstheme="majorEastAsia"/>
          <w:sz w:val="24"/>
          <w:szCs w:val="24"/>
        </w:rPr>
        <w:t>10</w:t>
      </w:r>
      <w:bookmarkEnd w:id="20"/>
      <w:r>
        <w:rPr>
          <w:rFonts w:hint="eastAsia" w:asciiTheme="majorEastAsia" w:hAnsiTheme="majorEastAsia" w:eastAsiaTheme="majorEastAsia" w:cstheme="majorEastAsia"/>
          <w:sz w:val="24"/>
          <w:szCs w:val="24"/>
        </w:rPr>
        <w:fldChar w:fldCharType="end"/>
      </w:r>
    </w:p>
    <w:p>
      <w:pPr>
        <w:pStyle w:val="16"/>
        <w:tabs>
          <w:tab w:val="right" w:leader="dot" w:pos="8640"/>
        </w:tabs>
        <w:spacing w:line="360" w:lineRule="auto"/>
        <w:ind w:left="420"/>
        <w:rPr>
          <w:rFonts w:asciiTheme="majorEastAsia" w:hAnsiTheme="majorEastAsia" w:eastAsiaTheme="majorEastAsia" w:cstheme="majorEastAsia"/>
          <w:sz w:val="24"/>
          <w:szCs w:val="24"/>
        </w:rPr>
      </w:pPr>
      <w:r>
        <w:fldChar w:fldCharType="begin"/>
      </w:r>
      <w:r>
        <w:instrText xml:space="preserve"> HYPERLINK \l "_Toc9153_WPSOffice_Level2" </w:instrText>
      </w:r>
      <w:r>
        <w:fldChar w:fldCharType="separate"/>
      </w:r>
      <w:r>
        <w:rPr>
          <w:rFonts w:hint="eastAsia" w:asciiTheme="majorEastAsia" w:hAnsiTheme="majorEastAsia" w:eastAsiaTheme="majorEastAsia" w:cstheme="majorEastAsia"/>
          <w:sz w:val="24"/>
          <w:szCs w:val="24"/>
        </w:rPr>
        <w:t>（二）工作活动(项目)评价结果</w:t>
      </w:r>
      <w:r>
        <w:rPr>
          <w:rFonts w:hint="eastAsia" w:asciiTheme="majorEastAsia" w:hAnsiTheme="majorEastAsia" w:eastAsiaTheme="majorEastAsia" w:cstheme="majorEastAsia"/>
          <w:sz w:val="24"/>
          <w:szCs w:val="24"/>
        </w:rPr>
        <w:tab/>
      </w:r>
      <w:bookmarkStart w:id="21" w:name="_Toc9153_WPSOffice_Level2Page"/>
      <w:r>
        <w:rPr>
          <w:rFonts w:hint="eastAsia" w:asciiTheme="majorEastAsia" w:hAnsiTheme="majorEastAsia" w:eastAsiaTheme="majorEastAsia" w:cstheme="majorEastAsia"/>
          <w:sz w:val="24"/>
          <w:szCs w:val="24"/>
        </w:rPr>
        <w:t>10</w:t>
      </w:r>
      <w:bookmarkEnd w:id="21"/>
      <w:r>
        <w:rPr>
          <w:rFonts w:hint="eastAsia" w:asciiTheme="majorEastAsia" w:hAnsiTheme="majorEastAsia" w:eastAsiaTheme="majorEastAsia" w:cstheme="majorEastAsia"/>
          <w:sz w:val="24"/>
          <w:szCs w:val="24"/>
        </w:rPr>
        <w:fldChar w:fldCharType="end"/>
      </w:r>
    </w:p>
    <w:p>
      <w:pPr>
        <w:pStyle w:val="15"/>
        <w:tabs>
          <w:tab w:val="right" w:leader="dot" w:pos="8640"/>
        </w:tabs>
        <w:spacing w:line="360" w:lineRule="auto"/>
        <w:ind w:firstLine="200" w:firstLineChars="100"/>
        <w:rPr>
          <w:rFonts w:asciiTheme="majorEastAsia" w:hAnsiTheme="majorEastAsia" w:eastAsiaTheme="majorEastAsia" w:cstheme="majorEastAsia"/>
          <w:sz w:val="24"/>
          <w:szCs w:val="24"/>
        </w:rPr>
      </w:pPr>
      <w:r>
        <w:fldChar w:fldCharType="begin"/>
      </w:r>
      <w:r>
        <w:instrText xml:space="preserve"> HYPERLINK \l "_Toc781_WPSOffice_Level1" </w:instrText>
      </w:r>
      <w:r>
        <w:fldChar w:fldCharType="separate"/>
      </w:r>
      <w:r>
        <w:rPr>
          <w:rFonts w:hint="eastAsia" w:asciiTheme="majorEastAsia" w:hAnsiTheme="majorEastAsia" w:eastAsiaTheme="majorEastAsia" w:cstheme="majorEastAsia"/>
          <w:sz w:val="24"/>
          <w:szCs w:val="24"/>
        </w:rPr>
        <w:t>五、项目存在的问题、改进工作的意见及建议</w:t>
      </w:r>
      <w:r>
        <w:rPr>
          <w:rFonts w:hint="eastAsia" w:asciiTheme="majorEastAsia" w:hAnsiTheme="majorEastAsia" w:eastAsiaTheme="majorEastAsia" w:cstheme="majorEastAsia"/>
          <w:sz w:val="24"/>
          <w:szCs w:val="24"/>
        </w:rPr>
        <w:tab/>
      </w:r>
      <w:bookmarkStart w:id="22" w:name="_Toc781_WPSOffice_Level1Page"/>
      <w:r>
        <w:rPr>
          <w:rFonts w:hint="eastAsia" w:asciiTheme="majorEastAsia" w:hAnsiTheme="majorEastAsia" w:eastAsiaTheme="majorEastAsia" w:cstheme="majorEastAsia"/>
          <w:sz w:val="24"/>
          <w:szCs w:val="24"/>
        </w:rPr>
        <w:t>12</w:t>
      </w:r>
      <w:bookmarkEnd w:id="22"/>
      <w:r>
        <w:rPr>
          <w:rFonts w:hint="eastAsia" w:asciiTheme="majorEastAsia" w:hAnsiTheme="majorEastAsia" w:eastAsiaTheme="majorEastAsia" w:cstheme="majorEastAsia"/>
          <w:sz w:val="24"/>
          <w:szCs w:val="24"/>
        </w:rPr>
        <w:fldChar w:fldCharType="end"/>
      </w:r>
    </w:p>
    <w:p>
      <w:pPr>
        <w:pStyle w:val="16"/>
        <w:tabs>
          <w:tab w:val="right" w:leader="dot" w:pos="8640"/>
        </w:tabs>
        <w:spacing w:line="360" w:lineRule="auto"/>
        <w:ind w:left="420"/>
        <w:rPr>
          <w:rFonts w:asciiTheme="majorEastAsia" w:hAnsiTheme="majorEastAsia" w:eastAsiaTheme="majorEastAsia" w:cstheme="majorEastAsia"/>
          <w:sz w:val="24"/>
          <w:szCs w:val="24"/>
        </w:rPr>
      </w:pPr>
      <w:r>
        <w:fldChar w:fldCharType="begin"/>
      </w:r>
      <w:r>
        <w:instrText xml:space="preserve"> HYPERLINK \l "_Toc19411_WPSOffice_Level2" </w:instrText>
      </w:r>
      <w:r>
        <w:fldChar w:fldCharType="separate"/>
      </w:r>
      <w:r>
        <w:rPr>
          <w:rFonts w:hint="eastAsia" w:asciiTheme="majorEastAsia" w:hAnsiTheme="majorEastAsia" w:eastAsiaTheme="majorEastAsia" w:cstheme="majorEastAsia"/>
          <w:sz w:val="24"/>
          <w:szCs w:val="24"/>
        </w:rPr>
        <w:t>（一）项目实现绩效目标过程中存在的问题</w:t>
      </w:r>
      <w:r>
        <w:rPr>
          <w:rFonts w:hint="eastAsia" w:asciiTheme="majorEastAsia" w:hAnsiTheme="majorEastAsia" w:eastAsiaTheme="majorEastAsia" w:cstheme="majorEastAsia"/>
          <w:sz w:val="24"/>
          <w:szCs w:val="24"/>
        </w:rPr>
        <w:tab/>
      </w:r>
      <w:bookmarkStart w:id="23" w:name="_Toc19411_WPSOffice_Level2Page"/>
      <w:r>
        <w:rPr>
          <w:rFonts w:hint="eastAsia" w:asciiTheme="majorEastAsia" w:hAnsiTheme="majorEastAsia" w:eastAsiaTheme="majorEastAsia" w:cstheme="majorEastAsia"/>
          <w:sz w:val="24"/>
          <w:szCs w:val="24"/>
        </w:rPr>
        <w:t>12</w:t>
      </w:r>
      <w:bookmarkEnd w:id="23"/>
      <w:r>
        <w:rPr>
          <w:rFonts w:hint="eastAsia" w:asciiTheme="majorEastAsia" w:hAnsiTheme="majorEastAsia" w:eastAsiaTheme="majorEastAsia" w:cstheme="majorEastAsia"/>
          <w:sz w:val="24"/>
          <w:szCs w:val="24"/>
        </w:rPr>
        <w:fldChar w:fldCharType="end"/>
      </w:r>
    </w:p>
    <w:p>
      <w:pPr>
        <w:pStyle w:val="16"/>
        <w:tabs>
          <w:tab w:val="right" w:leader="dot" w:pos="8640"/>
        </w:tabs>
        <w:spacing w:line="360" w:lineRule="auto"/>
        <w:ind w:left="420"/>
        <w:rPr>
          <w:rFonts w:asciiTheme="majorEastAsia" w:hAnsiTheme="majorEastAsia" w:eastAsiaTheme="majorEastAsia" w:cstheme="majorEastAsia"/>
          <w:sz w:val="24"/>
          <w:szCs w:val="24"/>
        </w:rPr>
      </w:pPr>
      <w:r>
        <w:fldChar w:fldCharType="begin"/>
      </w:r>
      <w:r>
        <w:instrText xml:space="preserve"> HYPERLINK \l "_Toc9267_WPSOffice_Level2" </w:instrText>
      </w:r>
      <w:r>
        <w:fldChar w:fldCharType="separate"/>
      </w:r>
      <w:r>
        <w:rPr>
          <w:rFonts w:hint="eastAsia" w:asciiTheme="majorEastAsia" w:hAnsiTheme="majorEastAsia" w:eastAsiaTheme="majorEastAsia" w:cstheme="majorEastAsia"/>
          <w:sz w:val="24"/>
          <w:szCs w:val="24"/>
        </w:rPr>
        <w:t>（二）项目实施中改进意见及措施</w:t>
      </w:r>
      <w:r>
        <w:rPr>
          <w:rFonts w:hint="eastAsia" w:asciiTheme="majorEastAsia" w:hAnsiTheme="majorEastAsia" w:eastAsiaTheme="majorEastAsia" w:cstheme="majorEastAsia"/>
          <w:sz w:val="24"/>
          <w:szCs w:val="24"/>
        </w:rPr>
        <w:tab/>
      </w:r>
      <w:bookmarkStart w:id="24" w:name="_Toc9267_WPSOffice_Level2Page"/>
      <w:r>
        <w:rPr>
          <w:rFonts w:hint="eastAsia" w:asciiTheme="majorEastAsia" w:hAnsiTheme="majorEastAsia" w:eastAsiaTheme="majorEastAsia" w:cstheme="majorEastAsia"/>
          <w:sz w:val="24"/>
          <w:szCs w:val="24"/>
        </w:rPr>
        <w:t>13</w:t>
      </w:r>
      <w:bookmarkEnd w:id="24"/>
      <w:r>
        <w:rPr>
          <w:rFonts w:hint="eastAsia" w:asciiTheme="majorEastAsia" w:hAnsiTheme="majorEastAsia" w:eastAsiaTheme="majorEastAsia" w:cstheme="majorEastAsia"/>
          <w:sz w:val="24"/>
          <w:szCs w:val="24"/>
        </w:rPr>
        <w:fldChar w:fldCharType="end"/>
      </w:r>
    </w:p>
    <w:p>
      <w:pPr>
        <w:pStyle w:val="15"/>
        <w:tabs>
          <w:tab w:val="right" w:leader="dot" w:pos="8640"/>
        </w:tabs>
        <w:spacing w:line="360" w:lineRule="auto"/>
        <w:ind w:firstLine="200" w:firstLineChars="100"/>
      </w:pPr>
      <w:r>
        <w:fldChar w:fldCharType="begin"/>
      </w:r>
      <w:r>
        <w:instrText xml:space="preserve"> HYPERLINK \l "_Toc3821_WPSOffice_Level1" </w:instrText>
      </w:r>
      <w:r>
        <w:fldChar w:fldCharType="separate"/>
      </w:r>
      <w:r>
        <w:rPr>
          <w:rFonts w:hint="eastAsia" w:asciiTheme="majorEastAsia" w:hAnsiTheme="majorEastAsia" w:eastAsiaTheme="majorEastAsia" w:cstheme="majorEastAsia"/>
          <w:sz w:val="24"/>
          <w:szCs w:val="24"/>
        </w:rPr>
        <w:t>六、附件</w:t>
      </w:r>
      <w:r>
        <w:rPr>
          <w:rFonts w:hint="eastAsia" w:asciiTheme="majorEastAsia" w:hAnsiTheme="majorEastAsia" w:eastAsiaTheme="majorEastAsia" w:cstheme="majorEastAsia"/>
          <w:sz w:val="24"/>
          <w:szCs w:val="24"/>
        </w:rPr>
        <w:tab/>
      </w:r>
      <w:bookmarkStart w:id="25" w:name="_Toc3821_WPSOffice_Level1Page"/>
      <w:r>
        <w:rPr>
          <w:rFonts w:hint="eastAsia" w:asciiTheme="majorEastAsia" w:hAnsiTheme="majorEastAsia" w:eastAsiaTheme="majorEastAsia" w:cstheme="majorEastAsia"/>
          <w:sz w:val="24"/>
          <w:szCs w:val="24"/>
        </w:rPr>
        <w:t>13</w:t>
      </w:r>
      <w:bookmarkEnd w:id="25"/>
      <w:r>
        <w:rPr>
          <w:rFonts w:hint="eastAsia" w:asciiTheme="majorEastAsia" w:hAnsiTheme="majorEastAsia" w:eastAsiaTheme="majorEastAsia" w:cstheme="majorEastAsia"/>
          <w:sz w:val="24"/>
          <w:szCs w:val="24"/>
        </w:rPr>
        <w:fldChar w:fldCharType="end"/>
      </w:r>
      <w:bookmarkEnd w:id="0"/>
    </w:p>
    <w:p>
      <w:pPr>
        <w:rPr>
          <w:rFonts w:ascii="方正小标宋简体" w:eastAsia="方正小标宋简体" w:hAnsiTheme="minorEastAsia"/>
          <w:sz w:val="40"/>
        </w:rPr>
      </w:pPr>
    </w:p>
    <w:p>
      <w:pPr>
        <w:spacing w:line="560" w:lineRule="atLeast"/>
        <w:rPr>
          <w:rFonts w:ascii="方正小标宋简体" w:eastAsia="方正小标宋简体" w:hAnsiTheme="minorEastAsia"/>
          <w:sz w:val="44"/>
          <w:szCs w:val="44"/>
        </w:rPr>
        <w:sectPr>
          <w:pgSz w:w="12240" w:h="15840"/>
          <w:pgMar w:top="1440" w:right="1800" w:bottom="1440" w:left="1800" w:header="720" w:footer="720" w:gutter="0"/>
          <w:cols w:space="720" w:num="1"/>
        </w:sectPr>
      </w:pPr>
    </w:p>
    <w:tbl>
      <w:tblPr>
        <w:tblStyle w:val="8"/>
        <w:tblW w:w="8633" w:type="dxa"/>
        <w:tblInd w:w="0" w:type="dxa"/>
        <w:tblLayout w:type="fixed"/>
        <w:tblCellMar>
          <w:top w:w="0" w:type="dxa"/>
          <w:left w:w="0" w:type="dxa"/>
          <w:bottom w:w="0" w:type="dxa"/>
          <w:right w:w="0" w:type="dxa"/>
        </w:tblCellMar>
      </w:tblPr>
      <w:tblGrid>
        <w:gridCol w:w="1018"/>
        <w:gridCol w:w="563"/>
        <w:gridCol w:w="2897"/>
        <w:gridCol w:w="1680"/>
        <w:gridCol w:w="2475"/>
      </w:tblGrid>
      <w:tr>
        <w:tblPrEx>
          <w:tblCellMar>
            <w:top w:w="0" w:type="dxa"/>
            <w:left w:w="0" w:type="dxa"/>
            <w:bottom w:w="0" w:type="dxa"/>
            <w:right w:w="0" w:type="dxa"/>
          </w:tblCellMar>
        </w:tblPrEx>
        <w:trPr>
          <w:trHeight w:val="612" w:hRule="atLeast"/>
        </w:trPr>
        <w:tc>
          <w:tcPr>
            <w:tcW w:w="15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工作活动(项目)负责人</w:t>
            </w:r>
          </w:p>
        </w:tc>
        <w:tc>
          <w:tcPr>
            <w:tcW w:w="2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eastAsia="zh-CN"/>
              </w:rPr>
              <w:t>张庆广</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联系电话</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0319-2213800</w:t>
            </w:r>
          </w:p>
        </w:tc>
      </w:tr>
      <w:tr>
        <w:tblPrEx>
          <w:tblCellMar>
            <w:top w:w="0" w:type="dxa"/>
            <w:left w:w="0" w:type="dxa"/>
            <w:bottom w:w="0" w:type="dxa"/>
            <w:right w:w="0" w:type="dxa"/>
          </w:tblCellMar>
        </w:tblPrEx>
        <w:trPr>
          <w:trHeight w:val="420" w:hRule="atLeast"/>
        </w:trPr>
        <w:tc>
          <w:tcPr>
            <w:tcW w:w="15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财务负责人</w:t>
            </w:r>
          </w:p>
        </w:tc>
        <w:tc>
          <w:tcPr>
            <w:tcW w:w="2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杨洁</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联系电话</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0319-2227441</w:t>
            </w:r>
          </w:p>
        </w:tc>
      </w:tr>
      <w:tr>
        <w:tblPrEx>
          <w:tblCellMar>
            <w:top w:w="0" w:type="dxa"/>
            <w:left w:w="0" w:type="dxa"/>
            <w:bottom w:w="0" w:type="dxa"/>
            <w:right w:w="0" w:type="dxa"/>
          </w:tblCellMar>
        </w:tblPrEx>
        <w:trPr>
          <w:trHeight w:val="420" w:hRule="atLeast"/>
        </w:trPr>
        <w:tc>
          <w:tcPr>
            <w:tcW w:w="15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单位地址</w:t>
            </w:r>
          </w:p>
        </w:tc>
        <w:tc>
          <w:tcPr>
            <w:tcW w:w="705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20" w:hRule="atLeast"/>
        </w:trPr>
        <w:tc>
          <w:tcPr>
            <w:tcW w:w="101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工作活动(项目)起止时间</w:t>
            </w:r>
          </w:p>
        </w:tc>
        <w:tc>
          <w:tcPr>
            <w:tcW w:w="34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计划开始：202</w:t>
            </w:r>
            <w:r>
              <w:rPr>
                <w:rFonts w:hint="eastAsia" w:ascii="宋体" w:hAnsi="宋体" w:cs="宋体"/>
                <w:color w:val="000000"/>
                <w:kern w:val="0"/>
                <w:sz w:val="20"/>
                <w:szCs w:val="20"/>
                <w:lang w:val="en-US" w:eastAsia="zh-CN"/>
              </w:rPr>
              <w:t>1</w:t>
            </w:r>
            <w:r>
              <w:rPr>
                <w:rFonts w:hint="eastAsia" w:ascii="宋体" w:hAnsi="宋体" w:cs="宋体"/>
                <w:color w:val="000000"/>
                <w:kern w:val="0"/>
                <w:sz w:val="20"/>
                <w:szCs w:val="20"/>
              </w:rPr>
              <w:t>年1月</w:t>
            </w:r>
          </w:p>
        </w:tc>
        <w:tc>
          <w:tcPr>
            <w:tcW w:w="41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计划完成：202</w:t>
            </w:r>
            <w:r>
              <w:rPr>
                <w:rFonts w:hint="eastAsia" w:ascii="宋体" w:hAnsi="宋体" w:cs="宋体"/>
                <w:color w:val="000000"/>
                <w:kern w:val="0"/>
                <w:sz w:val="20"/>
                <w:szCs w:val="20"/>
                <w:lang w:val="en-US" w:eastAsia="zh-CN"/>
              </w:rPr>
              <w:t>1</w:t>
            </w:r>
            <w:r>
              <w:rPr>
                <w:rFonts w:hint="eastAsia" w:ascii="宋体" w:hAnsi="宋体" w:cs="宋体"/>
                <w:color w:val="000000"/>
                <w:kern w:val="0"/>
                <w:sz w:val="20"/>
                <w:szCs w:val="20"/>
              </w:rPr>
              <w:t>年12月</w:t>
            </w:r>
          </w:p>
        </w:tc>
      </w:tr>
      <w:tr>
        <w:tblPrEx>
          <w:tblCellMar>
            <w:top w:w="0" w:type="dxa"/>
            <w:left w:w="0" w:type="dxa"/>
            <w:bottom w:w="0" w:type="dxa"/>
            <w:right w:w="0" w:type="dxa"/>
          </w:tblCellMar>
        </w:tblPrEx>
        <w:trPr>
          <w:trHeight w:val="420" w:hRule="atLeast"/>
        </w:trPr>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34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实际开始：202</w:t>
            </w:r>
            <w:r>
              <w:rPr>
                <w:rFonts w:hint="eastAsia" w:ascii="宋体" w:hAnsi="宋体" w:cs="宋体"/>
                <w:color w:val="000000"/>
                <w:kern w:val="0"/>
                <w:sz w:val="20"/>
                <w:szCs w:val="20"/>
                <w:lang w:val="en-US" w:eastAsia="zh-CN"/>
              </w:rPr>
              <w:t>1</w:t>
            </w:r>
            <w:r>
              <w:rPr>
                <w:rFonts w:hint="eastAsia" w:ascii="宋体" w:hAnsi="宋体" w:cs="宋体"/>
                <w:color w:val="000000"/>
                <w:kern w:val="0"/>
                <w:sz w:val="20"/>
                <w:szCs w:val="20"/>
              </w:rPr>
              <w:t>年1月</w:t>
            </w:r>
          </w:p>
        </w:tc>
        <w:tc>
          <w:tcPr>
            <w:tcW w:w="41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实际完成：202</w:t>
            </w:r>
            <w:r>
              <w:rPr>
                <w:rFonts w:hint="eastAsia" w:ascii="宋体" w:hAnsi="宋体" w:cs="宋体"/>
                <w:color w:val="000000"/>
                <w:kern w:val="0"/>
                <w:sz w:val="20"/>
                <w:szCs w:val="20"/>
                <w:lang w:val="en-US" w:eastAsia="zh-CN"/>
              </w:rPr>
              <w:t>1</w:t>
            </w:r>
            <w:r>
              <w:rPr>
                <w:rFonts w:hint="eastAsia" w:ascii="宋体" w:hAnsi="宋体" w:cs="宋体"/>
                <w:color w:val="000000"/>
                <w:kern w:val="0"/>
                <w:sz w:val="20"/>
                <w:szCs w:val="20"/>
              </w:rPr>
              <w:t>年12月</w:t>
            </w:r>
          </w:p>
        </w:tc>
      </w:tr>
    </w:tbl>
    <w:p>
      <w:pPr>
        <w:numPr>
          <w:ilvl w:val="0"/>
          <w:numId w:val="1"/>
        </w:numPr>
        <w:spacing w:line="560" w:lineRule="atLeast"/>
        <w:jc w:val="left"/>
        <w:rPr>
          <w:rFonts w:ascii="黑体" w:hAnsi="黑体" w:eastAsia="黑体" w:cs="黑体"/>
          <w:sz w:val="32"/>
          <w:szCs w:val="32"/>
        </w:rPr>
      </w:pPr>
      <w:bookmarkStart w:id="26" w:name="_Toc27590_WPSOffice_Level1"/>
      <w:r>
        <w:rPr>
          <w:rFonts w:hint="eastAsia" w:ascii="黑体" w:hAnsi="黑体" w:eastAsia="黑体" w:cs="黑体"/>
          <w:sz w:val="32"/>
          <w:szCs w:val="32"/>
        </w:rPr>
        <w:t>项目资金情况</w:t>
      </w:r>
      <w:bookmarkEnd w:id="26"/>
    </w:p>
    <w:tbl>
      <w:tblPr>
        <w:tblStyle w:val="8"/>
        <w:tblW w:w="8618" w:type="dxa"/>
        <w:tblInd w:w="0" w:type="dxa"/>
        <w:tblLayout w:type="fixed"/>
        <w:tblCellMar>
          <w:top w:w="0" w:type="dxa"/>
          <w:left w:w="0" w:type="dxa"/>
          <w:bottom w:w="0" w:type="dxa"/>
          <w:right w:w="0" w:type="dxa"/>
        </w:tblCellMar>
      </w:tblPr>
      <w:tblGrid>
        <w:gridCol w:w="1581"/>
        <w:gridCol w:w="1217"/>
        <w:gridCol w:w="1335"/>
        <w:gridCol w:w="1725"/>
        <w:gridCol w:w="1800"/>
        <w:gridCol w:w="960"/>
      </w:tblGrid>
      <w:tr>
        <w:tblPrEx>
          <w:tblCellMar>
            <w:top w:w="0" w:type="dxa"/>
            <w:left w:w="0" w:type="dxa"/>
            <w:bottom w:w="0" w:type="dxa"/>
            <w:right w:w="0" w:type="dxa"/>
          </w:tblCellMar>
        </w:tblPrEx>
        <w:trPr>
          <w:trHeight w:val="345" w:hRule="atLeast"/>
        </w:trPr>
        <w:tc>
          <w:tcPr>
            <w:tcW w:w="1581"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1217"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以前年度资金（万元）</w:t>
            </w:r>
          </w:p>
        </w:tc>
        <w:tc>
          <w:tcPr>
            <w:tcW w:w="58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本年度资金（评价项目的资金使用年度）</w:t>
            </w:r>
          </w:p>
        </w:tc>
      </w:tr>
      <w:tr>
        <w:tblPrEx>
          <w:tblCellMar>
            <w:top w:w="0" w:type="dxa"/>
            <w:left w:w="0" w:type="dxa"/>
            <w:bottom w:w="0" w:type="dxa"/>
            <w:right w:w="0" w:type="dxa"/>
          </w:tblCellMar>
        </w:tblPrEx>
        <w:trPr>
          <w:trHeight w:val="792" w:hRule="atLeast"/>
        </w:trPr>
        <w:tc>
          <w:tcPr>
            <w:tcW w:w="158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121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预算安排</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（万元）</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实际到位金额</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（到达项目单位）</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实际支出金额</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（项目单位支出）</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结余金额 （万元）　　　　　　　　　　　　　　</w:t>
            </w:r>
          </w:p>
        </w:tc>
      </w:tr>
      <w:tr>
        <w:tblPrEx>
          <w:tblCellMar>
            <w:top w:w="0" w:type="dxa"/>
            <w:left w:w="0" w:type="dxa"/>
            <w:bottom w:w="0" w:type="dxa"/>
            <w:right w:w="0" w:type="dxa"/>
          </w:tblCellMar>
        </w:tblPrEx>
        <w:trPr>
          <w:trHeight w:val="420" w:hRule="atLeast"/>
        </w:trPr>
        <w:tc>
          <w:tcPr>
            <w:tcW w:w="1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合计</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cs="宋体"/>
                <w:color w:val="000000"/>
                <w:sz w:val="20"/>
                <w:szCs w:val="20"/>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r>
      <w:tr>
        <w:tblPrEx>
          <w:tblCellMar>
            <w:top w:w="0" w:type="dxa"/>
            <w:left w:w="0" w:type="dxa"/>
            <w:bottom w:w="0" w:type="dxa"/>
            <w:right w:w="0" w:type="dxa"/>
          </w:tblCellMar>
        </w:tblPrEx>
        <w:trPr>
          <w:trHeight w:val="420" w:hRule="atLeast"/>
        </w:trPr>
        <w:tc>
          <w:tcPr>
            <w:tcW w:w="1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中央财政资金</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cs="宋体"/>
                <w:color w:val="000000"/>
                <w:sz w:val="20"/>
                <w:szCs w:val="20"/>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r>
      <w:tr>
        <w:tblPrEx>
          <w:tblCellMar>
            <w:top w:w="0" w:type="dxa"/>
            <w:left w:w="0" w:type="dxa"/>
            <w:bottom w:w="0" w:type="dxa"/>
            <w:right w:w="0" w:type="dxa"/>
          </w:tblCellMar>
        </w:tblPrEx>
        <w:trPr>
          <w:trHeight w:val="420" w:hRule="atLeast"/>
        </w:trPr>
        <w:tc>
          <w:tcPr>
            <w:tcW w:w="1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省财政资金</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cs="宋体"/>
                <w:color w:val="000000"/>
                <w:sz w:val="20"/>
                <w:szCs w:val="20"/>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r>
      <w:tr>
        <w:tblPrEx>
          <w:tblCellMar>
            <w:top w:w="0" w:type="dxa"/>
            <w:left w:w="0" w:type="dxa"/>
            <w:bottom w:w="0" w:type="dxa"/>
            <w:right w:w="0" w:type="dxa"/>
          </w:tblCellMar>
        </w:tblPrEx>
        <w:trPr>
          <w:trHeight w:val="420" w:hRule="atLeast"/>
        </w:trPr>
        <w:tc>
          <w:tcPr>
            <w:tcW w:w="1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市财政资金</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rPr>
              <w:t>2</w:t>
            </w:r>
            <w:r>
              <w:rPr>
                <w:rFonts w:hint="eastAsia" w:ascii="宋体" w:hAnsi="宋体" w:cs="宋体"/>
                <w:color w:val="000000"/>
                <w:kern w:val="0"/>
                <w:sz w:val="20"/>
                <w:szCs w:val="20"/>
                <w:lang w:val="en-US" w:eastAsia="zh-CN"/>
              </w:rPr>
              <w:t>76</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276</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276</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0</w:t>
            </w:r>
          </w:p>
        </w:tc>
      </w:tr>
      <w:tr>
        <w:tblPrEx>
          <w:tblCellMar>
            <w:top w:w="0" w:type="dxa"/>
            <w:left w:w="0" w:type="dxa"/>
            <w:bottom w:w="0" w:type="dxa"/>
            <w:right w:w="0" w:type="dxa"/>
          </w:tblCellMar>
        </w:tblPrEx>
        <w:trPr>
          <w:trHeight w:val="420" w:hRule="atLeast"/>
        </w:trPr>
        <w:tc>
          <w:tcPr>
            <w:tcW w:w="1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其他财政资金</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 w:val="20"/>
                <w:szCs w:val="20"/>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r>
    </w:tbl>
    <w:p>
      <w:pPr>
        <w:spacing w:line="560" w:lineRule="atLeast"/>
        <w:jc w:val="left"/>
        <w:rPr>
          <w:rFonts w:ascii="黑体" w:hAnsi="黑体" w:eastAsia="黑体" w:cs="黑体"/>
          <w:sz w:val="32"/>
          <w:szCs w:val="32"/>
        </w:rPr>
      </w:pPr>
    </w:p>
    <w:p>
      <w:pPr>
        <w:spacing w:line="560" w:lineRule="atLeast"/>
        <w:jc w:val="left"/>
        <w:rPr>
          <w:rFonts w:ascii="黑体" w:hAnsi="黑体" w:eastAsia="黑体" w:cs="黑体"/>
          <w:sz w:val="32"/>
          <w:szCs w:val="32"/>
        </w:rPr>
      </w:pPr>
    </w:p>
    <w:p>
      <w:pPr>
        <w:spacing w:line="560" w:lineRule="atLeast"/>
        <w:jc w:val="left"/>
        <w:rPr>
          <w:rFonts w:ascii="黑体" w:hAnsi="黑体" w:eastAsia="黑体" w:cs="黑体"/>
          <w:sz w:val="32"/>
          <w:szCs w:val="32"/>
        </w:rPr>
      </w:pPr>
    </w:p>
    <w:p>
      <w:pPr>
        <w:spacing w:line="560" w:lineRule="atLeast"/>
        <w:jc w:val="left"/>
        <w:rPr>
          <w:rFonts w:ascii="黑体" w:hAnsi="黑体" w:eastAsia="黑体" w:cs="黑体"/>
          <w:sz w:val="32"/>
          <w:szCs w:val="32"/>
        </w:rPr>
      </w:pPr>
    </w:p>
    <w:p>
      <w:pPr>
        <w:spacing w:line="560" w:lineRule="atLeast"/>
        <w:jc w:val="left"/>
        <w:rPr>
          <w:rFonts w:ascii="黑体" w:hAnsi="黑体" w:eastAsia="黑体" w:cs="黑体"/>
          <w:sz w:val="32"/>
          <w:szCs w:val="32"/>
        </w:rPr>
      </w:pPr>
    </w:p>
    <w:p>
      <w:pPr>
        <w:spacing w:line="560" w:lineRule="atLeast"/>
        <w:jc w:val="left"/>
        <w:rPr>
          <w:rFonts w:ascii="黑体" w:hAnsi="黑体" w:eastAsia="黑体" w:cs="黑体"/>
          <w:sz w:val="32"/>
          <w:szCs w:val="32"/>
        </w:rPr>
      </w:pPr>
    </w:p>
    <w:p>
      <w:pPr>
        <w:spacing w:line="560" w:lineRule="atLeast"/>
        <w:jc w:val="left"/>
        <w:rPr>
          <w:rFonts w:ascii="黑体" w:hAnsi="黑体" w:eastAsia="黑体" w:cs="黑体"/>
          <w:sz w:val="32"/>
          <w:szCs w:val="32"/>
        </w:rPr>
      </w:pPr>
    </w:p>
    <w:p>
      <w:pPr>
        <w:spacing w:line="560" w:lineRule="atLeast"/>
        <w:jc w:val="left"/>
        <w:rPr>
          <w:rFonts w:ascii="黑体" w:hAnsi="黑体" w:eastAsia="黑体" w:cs="黑体"/>
          <w:sz w:val="32"/>
          <w:szCs w:val="32"/>
        </w:rPr>
      </w:pPr>
    </w:p>
    <w:p>
      <w:pPr>
        <w:spacing w:line="560" w:lineRule="atLeast"/>
        <w:jc w:val="left"/>
        <w:rPr>
          <w:rFonts w:ascii="黑体" w:hAnsi="黑体" w:eastAsia="黑体" w:cs="黑体"/>
          <w:sz w:val="32"/>
          <w:szCs w:val="32"/>
        </w:rPr>
      </w:pPr>
    </w:p>
    <w:p>
      <w:pPr>
        <w:spacing w:line="560" w:lineRule="atLeast"/>
        <w:jc w:val="left"/>
        <w:rPr>
          <w:rFonts w:ascii="黑体" w:hAnsi="黑体" w:eastAsia="黑体" w:cs="黑体"/>
          <w:sz w:val="32"/>
          <w:szCs w:val="32"/>
        </w:rPr>
      </w:pPr>
    </w:p>
    <w:p>
      <w:pPr>
        <w:spacing w:line="560" w:lineRule="atLeast"/>
        <w:jc w:val="left"/>
        <w:rPr>
          <w:rFonts w:ascii="黑体" w:hAnsi="黑体" w:eastAsia="黑体" w:cs="黑体"/>
          <w:sz w:val="32"/>
          <w:szCs w:val="32"/>
        </w:rPr>
      </w:pPr>
    </w:p>
    <w:p>
      <w:pPr>
        <w:numPr>
          <w:ilvl w:val="0"/>
          <w:numId w:val="1"/>
        </w:numPr>
        <w:spacing w:line="560" w:lineRule="atLeast"/>
        <w:jc w:val="left"/>
        <w:rPr>
          <w:rFonts w:ascii="黑体" w:hAnsi="黑体" w:eastAsia="黑体" w:cs="黑体"/>
          <w:sz w:val="32"/>
          <w:szCs w:val="32"/>
        </w:rPr>
      </w:pPr>
      <w:bookmarkStart w:id="27" w:name="_Toc4961_WPSOffice_Level1"/>
      <w:r>
        <w:rPr>
          <w:rFonts w:hint="eastAsia" w:ascii="黑体" w:hAnsi="黑体" w:eastAsia="黑体" w:cs="黑体"/>
          <w:sz w:val="32"/>
          <w:szCs w:val="32"/>
        </w:rPr>
        <w:t>工作活动(项目)绩效目标情况</w:t>
      </w:r>
      <w:bookmarkEnd w:id="27"/>
    </w:p>
    <w:tbl>
      <w:tblPr>
        <w:tblStyle w:val="8"/>
        <w:tblW w:w="8573" w:type="dxa"/>
        <w:tblInd w:w="0" w:type="dxa"/>
        <w:tblLayout w:type="fixed"/>
        <w:tblCellMar>
          <w:top w:w="0" w:type="dxa"/>
          <w:left w:w="0" w:type="dxa"/>
          <w:bottom w:w="0" w:type="dxa"/>
          <w:right w:w="0" w:type="dxa"/>
        </w:tblCellMar>
      </w:tblPr>
      <w:tblGrid>
        <w:gridCol w:w="420"/>
        <w:gridCol w:w="600"/>
        <w:gridCol w:w="1284"/>
        <w:gridCol w:w="4124"/>
        <w:gridCol w:w="2145"/>
      </w:tblGrid>
      <w:tr>
        <w:tblPrEx>
          <w:tblCellMar>
            <w:top w:w="0" w:type="dxa"/>
            <w:left w:w="0" w:type="dxa"/>
            <w:bottom w:w="0" w:type="dxa"/>
            <w:right w:w="0" w:type="dxa"/>
          </w:tblCellMar>
        </w:tblPrEx>
        <w:trPr>
          <w:trHeight w:val="615" w:hRule="atLeast"/>
        </w:trPr>
        <w:tc>
          <w:tcPr>
            <w:tcW w:w="642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绩效目标</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完成绩效目标情况及未完成的原因</w:t>
            </w:r>
          </w:p>
        </w:tc>
      </w:tr>
      <w:tr>
        <w:tblPrEx>
          <w:tblCellMar>
            <w:top w:w="0" w:type="dxa"/>
            <w:left w:w="0" w:type="dxa"/>
            <w:bottom w:w="0" w:type="dxa"/>
            <w:right w:w="0" w:type="dxa"/>
          </w:tblCellMar>
        </w:tblPrEx>
        <w:trPr>
          <w:trHeight w:val="675" w:hRule="atLeast"/>
        </w:trPr>
        <w:tc>
          <w:tcPr>
            <w:tcW w:w="10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绩效目标</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总目标</w:t>
            </w:r>
          </w:p>
        </w:tc>
        <w:tc>
          <w:tcPr>
            <w:tcW w:w="4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保证职工绩效工资按时足额发放</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完成</w:t>
            </w:r>
          </w:p>
        </w:tc>
      </w:tr>
      <w:tr>
        <w:tblPrEx>
          <w:tblCellMar>
            <w:top w:w="0" w:type="dxa"/>
            <w:left w:w="0" w:type="dxa"/>
            <w:bottom w:w="0" w:type="dxa"/>
            <w:right w:w="0" w:type="dxa"/>
          </w:tblCellMar>
        </w:tblPrEx>
        <w:trPr>
          <w:trHeight w:val="675" w:hRule="atLeast"/>
        </w:trPr>
        <w:tc>
          <w:tcPr>
            <w:tcW w:w="10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年度目标</w:t>
            </w:r>
          </w:p>
        </w:tc>
        <w:tc>
          <w:tcPr>
            <w:tcW w:w="4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1、完成职工绩效工资按时发放。</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2、完成职工绩效工资足额发放。</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完成</w:t>
            </w:r>
          </w:p>
        </w:tc>
      </w:tr>
      <w:tr>
        <w:tblPrEx>
          <w:tblCellMar>
            <w:top w:w="0" w:type="dxa"/>
            <w:left w:w="0" w:type="dxa"/>
            <w:bottom w:w="0" w:type="dxa"/>
            <w:right w:w="0" w:type="dxa"/>
          </w:tblCellMar>
        </w:tblPrEx>
        <w:trPr>
          <w:trHeight w:val="675" w:hRule="atLeast"/>
        </w:trPr>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绩 效 指 标</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产出指标</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数量指标</w:t>
            </w:r>
          </w:p>
        </w:tc>
        <w:tc>
          <w:tcPr>
            <w:tcW w:w="4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color w:val="000000"/>
              </w:rPr>
              <w:t>完成2021年津补贴、绩效工资发放1212人次。</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完成</w:t>
            </w:r>
          </w:p>
        </w:tc>
      </w:tr>
      <w:tr>
        <w:tblPrEx>
          <w:tblCellMar>
            <w:top w:w="0" w:type="dxa"/>
            <w:left w:w="0" w:type="dxa"/>
            <w:bottom w:w="0" w:type="dxa"/>
            <w:right w:w="0" w:type="dxa"/>
          </w:tblCellMar>
        </w:tblPrEx>
        <w:trPr>
          <w:trHeight w:val="675" w:hRule="atLeast"/>
        </w:trPr>
        <w:tc>
          <w:tcPr>
            <w:tcW w:w="4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rPr>
            </w:pPr>
          </w:p>
        </w:tc>
        <w:tc>
          <w:tcPr>
            <w:tcW w:w="6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sz w:val="22"/>
                <w:szCs w:val="20"/>
              </w:rPr>
              <w:t>数量指标</w:t>
            </w:r>
          </w:p>
        </w:tc>
        <w:tc>
          <w:tcPr>
            <w:tcW w:w="4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color w:val="000000"/>
              </w:rPr>
            </w:pPr>
            <w:r>
              <w:rPr>
                <w:rFonts w:hint="eastAsia"/>
                <w:color w:val="000000"/>
              </w:rPr>
              <w:t>全年发放职工津补贴次数。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rPr>
            </w:pPr>
            <w:r>
              <w:rPr>
                <w:rFonts w:hint="eastAsia"/>
                <w:color w:val="000000"/>
              </w:rPr>
              <w:t>12次</w:t>
            </w:r>
          </w:p>
        </w:tc>
      </w:tr>
      <w:tr>
        <w:tblPrEx>
          <w:tblCellMar>
            <w:top w:w="0" w:type="dxa"/>
            <w:left w:w="0" w:type="dxa"/>
            <w:bottom w:w="0" w:type="dxa"/>
            <w:right w:w="0" w:type="dxa"/>
          </w:tblCellMar>
        </w:tblPrEx>
        <w:trPr>
          <w:trHeight w:val="675"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质量指标</w:t>
            </w:r>
          </w:p>
        </w:tc>
        <w:tc>
          <w:tcPr>
            <w:tcW w:w="4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color w:val="000000"/>
              </w:rPr>
              <w:t>完成气象职工津补贴、绩效工资等发放工作情况。</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覆盖率1</w:t>
            </w:r>
            <w:r>
              <w:rPr>
                <w:rStyle w:val="19"/>
                <w:rFonts w:hint="default"/>
              </w:rPr>
              <w:t>00%</w:t>
            </w:r>
          </w:p>
        </w:tc>
      </w:tr>
      <w:tr>
        <w:tblPrEx>
          <w:tblCellMar>
            <w:top w:w="0" w:type="dxa"/>
            <w:left w:w="0" w:type="dxa"/>
            <w:bottom w:w="0" w:type="dxa"/>
            <w:right w:w="0" w:type="dxa"/>
          </w:tblCellMar>
        </w:tblPrEx>
        <w:trPr>
          <w:trHeight w:val="675"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成本指标</w:t>
            </w:r>
          </w:p>
        </w:tc>
        <w:tc>
          <w:tcPr>
            <w:tcW w:w="4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发放职工津补贴金额</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r>
              <w:rPr>
                <w:rFonts w:hint="eastAsia" w:ascii="宋体" w:hAnsi="宋体" w:cs="宋体"/>
                <w:color w:val="000000"/>
                <w:kern w:val="0"/>
                <w:sz w:val="20"/>
                <w:szCs w:val="20"/>
                <w:lang w:val="en-US" w:eastAsia="zh-CN"/>
              </w:rPr>
              <w:t>76</w:t>
            </w:r>
            <w:r>
              <w:rPr>
                <w:rStyle w:val="19"/>
                <w:rFonts w:hint="default"/>
              </w:rPr>
              <w:t>万元</w:t>
            </w:r>
          </w:p>
        </w:tc>
      </w:tr>
      <w:tr>
        <w:tblPrEx>
          <w:tblCellMar>
            <w:top w:w="0" w:type="dxa"/>
            <w:left w:w="0" w:type="dxa"/>
            <w:bottom w:w="0" w:type="dxa"/>
            <w:right w:w="0" w:type="dxa"/>
          </w:tblCellMar>
        </w:tblPrEx>
        <w:trPr>
          <w:trHeight w:val="675"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时效指标</w:t>
            </w:r>
          </w:p>
        </w:tc>
        <w:tc>
          <w:tcPr>
            <w:tcW w:w="4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按时发放职工及补贴及时率</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r>
      <w:tr>
        <w:tblPrEx>
          <w:tblCellMar>
            <w:top w:w="0" w:type="dxa"/>
            <w:left w:w="0" w:type="dxa"/>
            <w:bottom w:w="0" w:type="dxa"/>
            <w:right w:w="0" w:type="dxa"/>
          </w:tblCellMar>
        </w:tblPrEx>
        <w:trPr>
          <w:trHeight w:val="675"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效果指标</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经济效益指标</w:t>
            </w:r>
          </w:p>
        </w:tc>
        <w:tc>
          <w:tcPr>
            <w:tcW w:w="4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提高职工工作积极性，提高预报预测准确率，积极防御气象灾害，确保社会经济稳定发展。</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有所提高</w:t>
            </w:r>
          </w:p>
        </w:tc>
      </w:tr>
      <w:tr>
        <w:tblPrEx>
          <w:tblCellMar>
            <w:top w:w="0" w:type="dxa"/>
            <w:left w:w="0" w:type="dxa"/>
            <w:bottom w:w="0" w:type="dxa"/>
            <w:right w:w="0" w:type="dxa"/>
          </w:tblCellMar>
        </w:tblPrEx>
        <w:trPr>
          <w:trHeight w:val="675"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社会效益指标</w:t>
            </w:r>
          </w:p>
        </w:tc>
        <w:tc>
          <w:tcPr>
            <w:tcW w:w="4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rPr>
              <w:t>单位职工年终考核测评优良评比结果</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r>
      <w:tr>
        <w:tblPrEx>
          <w:tblCellMar>
            <w:top w:w="0" w:type="dxa"/>
            <w:left w:w="0" w:type="dxa"/>
            <w:bottom w:w="0" w:type="dxa"/>
            <w:right w:w="0" w:type="dxa"/>
          </w:tblCellMar>
        </w:tblPrEx>
        <w:trPr>
          <w:trHeight w:val="675"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环境效益指标</w:t>
            </w:r>
          </w:p>
        </w:tc>
        <w:tc>
          <w:tcPr>
            <w:tcW w:w="4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675"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可持续发展效益指标</w:t>
            </w:r>
          </w:p>
        </w:tc>
        <w:tc>
          <w:tcPr>
            <w:tcW w:w="4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为在职职工提高工作效率，工作积极性，为做好气象预报、灾害防治等工作提供持续动力。</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r>
    </w:tbl>
    <w:p>
      <w:pPr>
        <w:spacing w:line="560" w:lineRule="atLeast"/>
        <w:jc w:val="left"/>
        <w:rPr>
          <w:rFonts w:ascii="黑体" w:hAnsi="黑体" w:eastAsia="黑体" w:cs="黑体"/>
          <w:sz w:val="32"/>
          <w:szCs w:val="32"/>
        </w:rPr>
      </w:pPr>
    </w:p>
    <w:p>
      <w:pPr>
        <w:spacing w:line="560" w:lineRule="atLeast"/>
        <w:jc w:val="left"/>
        <w:rPr>
          <w:rFonts w:ascii="黑体" w:hAnsi="黑体" w:eastAsia="黑体" w:cs="黑体"/>
          <w:sz w:val="32"/>
          <w:szCs w:val="32"/>
        </w:rPr>
      </w:pPr>
    </w:p>
    <w:p>
      <w:pPr>
        <w:spacing w:line="560" w:lineRule="atLeast"/>
        <w:jc w:val="left"/>
        <w:rPr>
          <w:rFonts w:ascii="黑体" w:hAnsi="黑体" w:eastAsia="黑体" w:cs="黑体"/>
          <w:sz w:val="32"/>
          <w:szCs w:val="32"/>
        </w:rPr>
      </w:pPr>
    </w:p>
    <w:p>
      <w:pPr>
        <w:spacing w:line="560" w:lineRule="atLeast"/>
        <w:jc w:val="left"/>
        <w:rPr>
          <w:rFonts w:ascii="黑体" w:hAnsi="黑体" w:eastAsia="黑体" w:cs="黑体"/>
          <w:sz w:val="32"/>
          <w:szCs w:val="32"/>
        </w:rPr>
      </w:pPr>
    </w:p>
    <w:p>
      <w:pPr>
        <w:spacing w:line="560" w:lineRule="atLeast"/>
        <w:jc w:val="left"/>
        <w:rPr>
          <w:rFonts w:ascii="黑体" w:hAnsi="黑体" w:eastAsia="黑体" w:cs="黑体"/>
          <w:sz w:val="32"/>
          <w:szCs w:val="32"/>
        </w:rPr>
      </w:pPr>
    </w:p>
    <w:p>
      <w:pPr>
        <w:spacing w:line="560" w:lineRule="atLeast"/>
        <w:jc w:val="left"/>
        <w:rPr>
          <w:rFonts w:ascii="黑体" w:hAnsi="黑体" w:eastAsia="黑体" w:cs="黑体"/>
          <w:sz w:val="32"/>
          <w:szCs w:val="32"/>
        </w:rPr>
      </w:pPr>
    </w:p>
    <w:p>
      <w:pPr>
        <w:spacing w:line="560" w:lineRule="atLeast"/>
        <w:jc w:val="left"/>
        <w:rPr>
          <w:rFonts w:ascii="黑体" w:hAnsi="黑体" w:eastAsia="黑体" w:cs="黑体"/>
          <w:sz w:val="32"/>
          <w:szCs w:val="32"/>
        </w:rPr>
      </w:pPr>
    </w:p>
    <w:p>
      <w:pPr>
        <w:spacing w:line="560" w:lineRule="atLeast"/>
        <w:jc w:val="left"/>
        <w:rPr>
          <w:rFonts w:ascii="黑体" w:hAnsi="黑体" w:eastAsia="黑体" w:cs="黑体"/>
          <w:sz w:val="32"/>
          <w:szCs w:val="32"/>
        </w:rPr>
      </w:pPr>
    </w:p>
    <w:p>
      <w:pPr>
        <w:numPr>
          <w:ilvl w:val="0"/>
          <w:numId w:val="1"/>
        </w:numPr>
        <w:spacing w:line="560" w:lineRule="atLeast"/>
        <w:jc w:val="left"/>
        <w:rPr>
          <w:rFonts w:ascii="黑体" w:hAnsi="黑体" w:eastAsia="黑体" w:cs="黑体"/>
          <w:sz w:val="32"/>
          <w:szCs w:val="32"/>
        </w:rPr>
      </w:pPr>
      <w:bookmarkStart w:id="28" w:name="_Toc19052_WPSOffice_Level1"/>
      <w:r>
        <w:rPr>
          <w:rFonts w:hint="eastAsia" w:ascii="黑体" w:hAnsi="黑体" w:eastAsia="黑体" w:cs="黑体"/>
          <w:sz w:val="32"/>
          <w:szCs w:val="32"/>
        </w:rPr>
        <w:t>邢台市市级部门(单位)工作活动绩效评价共性指标</w:t>
      </w:r>
      <w:bookmarkEnd w:id="28"/>
    </w:p>
    <w:tbl>
      <w:tblPr>
        <w:tblStyle w:val="8"/>
        <w:tblW w:w="8633" w:type="dxa"/>
        <w:tblInd w:w="0" w:type="dxa"/>
        <w:tblLayout w:type="fixed"/>
        <w:tblCellMar>
          <w:top w:w="0" w:type="dxa"/>
          <w:left w:w="0" w:type="dxa"/>
          <w:bottom w:w="0" w:type="dxa"/>
          <w:right w:w="0" w:type="dxa"/>
        </w:tblCellMar>
      </w:tblPr>
      <w:tblGrid>
        <w:gridCol w:w="743"/>
        <w:gridCol w:w="720"/>
        <w:gridCol w:w="768"/>
        <w:gridCol w:w="660"/>
        <w:gridCol w:w="2699"/>
        <w:gridCol w:w="2533"/>
        <w:gridCol w:w="510"/>
      </w:tblGrid>
      <w:tr>
        <w:tblPrEx>
          <w:tblCellMar>
            <w:top w:w="0" w:type="dxa"/>
            <w:left w:w="0" w:type="dxa"/>
            <w:bottom w:w="0" w:type="dxa"/>
            <w:right w:w="0" w:type="dxa"/>
          </w:tblCellMar>
        </w:tblPrEx>
        <w:trPr>
          <w:trHeight w:val="690"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一级指标</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二级指标</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三级指标</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分值</w:t>
            </w:r>
          </w:p>
        </w:tc>
        <w:tc>
          <w:tcPr>
            <w:tcW w:w="2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指标内容</w:t>
            </w:r>
          </w:p>
        </w:tc>
        <w:tc>
          <w:tcPr>
            <w:tcW w:w="2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评价标准</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得分</w:t>
            </w:r>
          </w:p>
        </w:tc>
      </w:tr>
      <w:tr>
        <w:tblPrEx>
          <w:tblCellMar>
            <w:top w:w="0" w:type="dxa"/>
            <w:left w:w="0" w:type="dxa"/>
            <w:bottom w:w="0" w:type="dxa"/>
            <w:right w:w="0" w:type="dxa"/>
          </w:tblCellMar>
        </w:tblPrEx>
        <w:trPr>
          <w:trHeight w:val="1224" w:hRule="atLeast"/>
        </w:trPr>
        <w:tc>
          <w:tcPr>
            <w:tcW w:w="7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“工作活动”设置（15）</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工作活动相关性</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政策相关性</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3</w:t>
            </w:r>
          </w:p>
        </w:tc>
        <w:tc>
          <w:tcPr>
            <w:tcW w:w="2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工作活动是否符合各级政府战略部署和发展规划，宏观政策、行业政策一致。</w:t>
            </w:r>
          </w:p>
        </w:tc>
        <w:tc>
          <w:tcPr>
            <w:tcW w:w="2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工作活动符合各级政府战略部署和发展规划，宏观政策、行业政策一致，得3分。</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3</w:t>
            </w:r>
          </w:p>
        </w:tc>
      </w:tr>
      <w:tr>
        <w:tblPrEx>
          <w:tblCellMar>
            <w:top w:w="0" w:type="dxa"/>
            <w:left w:w="0" w:type="dxa"/>
            <w:bottom w:w="0" w:type="dxa"/>
            <w:right w:w="0" w:type="dxa"/>
          </w:tblCellMar>
        </w:tblPrEx>
        <w:trPr>
          <w:trHeight w:val="900" w:hRule="atLeast"/>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0"/>
                <w:szCs w:val="20"/>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部门职责相关性</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3</w:t>
            </w:r>
          </w:p>
        </w:tc>
        <w:tc>
          <w:tcPr>
            <w:tcW w:w="2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工作活动是否与部门职责、工作规划和重点工作相关。</w:t>
            </w:r>
          </w:p>
        </w:tc>
        <w:tc>
          <w:tcPr>
            <w:tcW w:w="2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工作活动与部门职责、工作规划和重点工作相关，得3分。</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3</w:t>
            </w:r>
          </w:p>
        </w:tc>
      </w:tr>
      <w:tr>
        <w:tblPrEx>
          <w:tblCellMar>
            <w:top w:w="0" w:type="dxa"/>
            <w:left w:w="0" w:type="dxa"/>
            <w:bottom w:w="0" w:type="dxa"/>
            <w:right w:w="0" w:type="dxa"/>
          </w:tblCellMar>
        </w:tblPrEx>
        <w:trPr>
          <w:trHeight w:val="1170" w:hRule="atLeast"/>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0"/>
                <w:szCs w:val="20"/>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预算项目相关性</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3</w:t>
            </w:r>
          </w:p>
        </w:tc>
        <w:tc>
          <w:tcPr>
            <w:tcW w:w="2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工作活动项下确定的预算项目是否合理，是否与工作活动密切相关；工作活动和项目预算安排是否合理。</w:t>
            </w:r>
          </w:p>
        </w:tc>
        <w:tc>
          <w:tcPr>
            <w:tcW w:w="2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工作活动项下确定的预算项目合理，与工作活动密切相关，得1分；工作活动和项目预算安排合理，得2分。</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3</w:t>
            </w:r>
          </w:p>
        </w:tc>
      </w:tr>
      <w:tr>
        <w:tblPrEx>
          <w:tblCellMar>
            <w:top w:w="0" w:type="dxa"/>
            <w:left w:w="0" w:type="dxa"/>
            <w:bottom w:w="0" w:type="dxa"/>
            <w:right w:w="0" w:type="dxa"/>
          </w:tblCellMar>
        </w:tblPrEx>
        <w:trPr>
          <w:trHeight w:val="1470" w:hRule="atLeast"/>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绩效目标、指标科学性</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绩效目标设立科学性</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3</w:t>
            </w:r>
          </w:p>
        </w:tc>
        <w:tc>
          <w:tcPr>
            <w:tcW w:w="2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工作活动是否有明确的绩效目标，绩效目标是否与部门职责目标、部门年度工作目标一致，是否能体现工作活动的产出和效果。</w:t>
            </w:r>
          </w:p>
        </w:tc>
        <w:tc>
          <w:tcPr>
            <w:tcW w:w="2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工作活动有明确的绩效目标，得1分；绩效目标与部门职责目标、部门年度工作目标一致，得1分；绩效目标能体现工作活动的产出和效果，得1分。</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3</w:t>
            </w:r>
          </w:p>
        </w:tc>
      </w:tr>
      <w:tr>
        <w:tblPrEx>
          <w:tblCellMar>
            <w:top w:w="0" w:type="dxa"/>
            <w:left w:w="0" w:type="dxa"/>
            <w:bottom w:w="0" w:type="dxa"/>
            <w:right w:w="0" w:type="dxa"/>
          </w:tblCellMar>
        </w:tblPrEx>
        <w:trPr>
          <w:trHeight w:val="1275" w:hRule="atLeast"/>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0"/>
                <w:szCs w:val="20"/>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绩效指标设立科学性</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3</w:t>
            </w:r>
          </w:p>
        </w:tc>
        <w:tc>
          <w:tcPr>
            <w:tcW w:w="2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工作活动是否有明确的绩效指标，指标设置是否能准确反映活动目标完成情况，是否细化量化，是否可衡量。</w:t>
            </w:r>
          </w:p>
        </w:tc>
        <w:tc>
          <w:tcPr>
            <w:tcW w:w="2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绩效指标设置能准确反映活动目标完成情况，得2分；细化量化，可衡量，得1分。</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3</w:t>
            </w:r>
          </w:p>
        </w:tc>
      </w:tr>
      <w:tr>
        <w:tblPrEx>
          <w:tblCellMar>
            <w:top w:w="0" w:type="dxa"/>
            <w:left w:w="0" w:type="dxa"/>
            <w:bottom w:w="0" w:type="dxa"/>
            <w:right w:w="0" w:type="dxa"/>
          </w:tblCellMar>
        </w:tblPrEx>
        <w:trPr>
          <w:trHeight w:val="855" w:hRule="atLeast"/>
        </w:trPr>
        <w:tc>
          <w:tcPr>
            <w:tcW w:w="7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“工作活动”管理（25）</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财务管理规范性</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资金拨付情况</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4</w:t>
            </w:r>
          </w:p>
        </w:tc>
        <w:tc>
          <w:tcPr>
            <w:tcW w:w="2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实际拨付资金占预算安排资金的比例。</w:t>
            </w:r>
          </w:p>
        </w:tc>
        <w:tc>
          <w:tcPr>
            <w:tcW w:w="2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资金没有足额到位，资金到位率每降低一个百分点扣分值的10%，到位率小于等于90%得0分</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4</w:t>
            </w:r>
          </w:p>
        </w:tc>
      </w:tr>
      <w:tr>
        <w:tblPrEx>
          <w:tblCellMar>
            <w:top w:w="0" w:type="dxa"/>
            <w:left w:w="0" w:type="dxa"/>
            <w:bottom w:w="0" w:type="dxa"/>
            <w:right w:w="0" w:type="dxa"/>
          </w:tblCellMar>
        </w:tblPrEx>
        <w:trPr>
          <w:trHeight w:val="765" w:hRule="atLeast"/>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0"/>
                <w:szCs w:val="20"/>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资金支出进度</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4</w:t>
            </w:r>
          </w:p>
        </w:tc>
        <w:tc>
          <w:tcPr>
            <w:tcW w:w="2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资金是否按照规定（计划）的时间进度要求拨付或下达</w:t>
            </w:r>
          </w:p>
        </w:tc>
        <w:tc>
          <w:tcPr>
            <w:tcW w:w="2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支出进度每落后一个时间节点要求，扣分值的25%,扣完为止。</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4</w:t>
            </w:r>
          </w:p>
        </w:tc>
      </w:tr>
      <w:tr>
        <w:tblPrEx>
          <w:tblCellMar>
            <w:top w:w="0" w:type="dxa"/>
            <w:left w:w="0" w:type="dxa"/>
            <w:bottom w:w="0" w:type="dxa"/>
            <w:right w:w="0" w:type="dxa"/>
          </w:tblCellMar>
        </w:tblPrEx>
        <w:trPr>
          <w:trHeight w:val="1932" w:hRule="atLeast"/>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0"/>
                <w:szCs w:val="20"/>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资金使用规范性</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7</w:t>
            </w:r>
          </w:p>
        </w:tc>
        <w:tc>
          <w:tcPr>
            <w:tcW w:w="2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资金拨付手续是否完整，是否符合预算和国库管理有关规定；资金使用是否符合《预算法》等法律、法规、财务管理制度和资金管理办法规定。</w:t>
            </w:r>
          </w:p>
        </w:tc>
        <w:tc>
          <w:tcPr>
            <w:tcW w:w="2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资金拨付手续完整，符合预算和国库管理有关规定，得3分；资金使用符合《预算法》等法律、法规、财务管理制度和资金管理办法规定的，得4分。</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7</w:t>
            </w:r>
          </w:p>
        </w:tc>
      </w:tr>
      <w:tr>
        <w:tblPrEx>
          <w:tblCellMar>
            <w:top w:w="0" w:type="dxa"/>
            <w:left w:w="0" w:type="dxa"/>
            <w:bottom w:w="0" w:type="dxa"/>
            <w:right w:w="0" w:type="dxa"/>
          </w:tblCellMar>
        </w:tblPrEx>
        <w:trPr>
          <w:trHeight w:val="1536" w:hRule="atLeast"/>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工作活动实施保障</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管理制度健全性</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6</w:t>
            </w:r>
          </w:p>
        </w:tc>
        <w:tc>
          <w:tcPr>
            <w:tcW w:w="2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部门制定的实施方案、管理制度和措施（包括财务制度）是否明确、清晰、具有可操作性，能否保障工作活动顺利实施。</w:t>
            </w:r>
          </w:p>
        </w:tc>
        <w:tc>
          <w:tcPr>
            <w:tcW w:w="2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部门制定了实施方案、管理制度和措施（包括财务制度），得3分；各项方案和制度措施明确、清晰、具有可操作性，得3分。</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6</w:t>
            </w:r>
          </w:p>
        </w:tc>
      </w:tr>
      <w:tr>
        <w:tblPrEx>
          <w:tblCellMar>
            <w:top w:w="0" w:type="dxa"/>
            <w:left w:w="0" w:type="dxa"/>
            <w:bottom w:w="0" w:type="dxa"/>
            <w:right w:w="0" w:type="dxa"/>
          </w:tblCellMar>
        </w:tblPrEx>
        <w:trPr>
          <w:trHeight w:val="1404" w:hRule="atLeast"/>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0"/>
                <w:szCs w:val="20"/>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过程控制有效性</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4</w:t>
            </w:r>
          </w:p>
        </w:tc>
        <w:tc>
          <w:tcPr>
            <w:tcW w:w="2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保障工作活动实施、资金安全的各项制度措施是否得到有效落实，是否有风险应对措施。</w:t>
            </w:r>
          </w:p>
        </w:tc>
        <w:tc>
          <w:tcPr>
            <w:tcW w:w="2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保障工作活动实施、资金安全的各项制度措施得到有效落实，得2分，有风险应对措施，得2分。</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4</w:t>
            </w:r>
          </w:p>
        </w:tc>
      </w:tr>
      <w:tr>
        <w:tblPrEx>
          <w:tblCellMar>
            <w:top w:w="0" w:type="dxa"/>
            <w:left w:w="0" w:type="dxa"/>
            <w:bottom w:w="0" w:type="dxa"/>
            <w:right w:w="0" w:type="dxa"/>
          </w:tblCellMar>
        </w:tblPrEx>
        <w:trPr>
          <w:trHeight w:val="1350" w:hRule="atLeast"/>
        </w:trPr>
        <w:tc>
          <w:tcPr>
            <w:tcW w:w="7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“工作活动”产出（25）</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工作活动产出数量完成率</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发放工资人次</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7</w:t>
            </w:r>
          </w:p>
        </w:tc>
        <w:tc>
          <w:tcPr>
            <w:tcW w:w="26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反映工作活动设定目标的完成程度，由评价工作组结合被评价工作活动产出指标设置情况及业务情况进行细化，各项产出逐一评价，逐一确定分值。</w:t>
            </w:r>
          </w:p>
        </w:tc>
        <w:tc>
          <w:tcPr>
            <w:tcW w:w="25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根据工作活动和具体产出指标设定每一项产出数量完成率的分值。完成率为100%的，得该项产出分值的满分；完成率为90%至100%的，得该项产出分值的90%；完成率为80%至90%的，得该项产出分值的80%；完成率为70%至80%的，得该项产出分值的60%：完成率低于70%的，不得分。</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3</w:t>
            </w:r>
          </w:p>
        </w:tc>
      </w:tr>
      <w:tr>
        <w:tblPrEx>
          <w:tblCellMar>
            <w:top w:w="0" w:type="dxa"/>
            <w:left w:w="0" w:type="dxa"/>
            <w:bottom w:w="0" w:type="dxa"/>
            <w:right w:w="0" w:type="dxa"/>
          </w:tblCellMar>
        </w:tblPrEx>
        <w:trPr>
          <w:trHeight w:val="1160" w:hRule="atLeast"/>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0"/>
                <w:szCs w:val="20"/>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发放次数</w:t>
            </w: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26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0"/>
                <w:szCs w:val="20"/>
              </w:rPr>
            </w:pPr>
          </w:p>
        </w:tc>
        <w:tc>
          <w:tcPr>
            <w:tcW w:w="25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4</w:t>
            </w:r>
          </w:p>
        </w:tc>
      </w:tr>
      <w:tr>
        <w:tblPrEx>
          <w:tblCellMar>
            <w:top w:w="0" w:type="dxa"/>
            <w:left w:w="0" w:type="dxa"/>
            <w:bottom w:w="0" w:type="dxa"/>
            <w:right w:w="0" w:type="dxa"/>
          </w:tblCellMar>
        </w:tblPrEx>
        <w:trPr>
          <w:trHeight w:val="1260" w:hRule="atLeast"/>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工作活动产出质量达标率</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发放工资完成率</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7</w:t>
            </w:r>
          </w:p>
        </w:tc>
        <w:tc>
          <w:tcPr>
            <w:tcW w:w="26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反映工作活动的产出是否达到预期质量标准。由评价工作组结合被评价工作活动产出指标设置情况及业务情况进行细化。</w:t>
            </w:r>
          </w:p>
        </w:tc>
        <w:tc>
          <w:tcPr>
            <w:tcW w:w="25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根据工作活动和具体产出指标设定每一项产出质量达标率的分值。达标率为100%的，得该项产出分值的满分；达标率为90%至100%的，得该项产出分值的90%；达标率为80%至90%的，得该项产出分值的80%；达标率为70%至80%的，得该项产出分值的60%：达标率低于70%的，不得分。</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3</w:t>
            </w:r>
          </w:p>
        </w:tc>
      </w:tr>
      <w:tr>
        <w:tblPrEx>
          <w:tblCellMar>
            <w:top w:w="0" w:type="dxa"/>
            <w:left w:w="0" w:type="dxa"/>
            <w:bottom w:w="0" w:type="dxa"/>
            <w:right w:w="0" w:type="dxa"/>
          </w:tblCellMar>
        </w:tblPrEx>
        <w:trPr>
          <w:trHeight w:val="1300" w:hRule="atLeast"/>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0"/>
                <w:szCs w:val="20"/>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发放工作覆盖率</w:t>
            </w: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26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0"/>
                <w:szCs w:val="20"/>
              </w:rPr>
            </w:pPr>
          </w:p>
        </w:tc>
        <w:tc>
          <w:tcPr>
            <w:tcW w:w="25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4</w:t>
            </w:r>
          </w:p>
        </w:tc>
      </w:tr>
      <w:tr>
        <w:tblPrEx>
          <w:tblCellMar>
            <w:top w:w="0" w:type="dxa"/>
            <w:left w:w="0" w:type="dxa"/>
            <w:bottom w:w="0" w:type="dxa"/>
            <w:right w:w="0" w:type="dxa"/>
          </w:tblCellMar>
        </w:tblPrEx>
        <w:trPr>
          <w:trHeight w:val="1065" w:hRule="atLeast"/>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工作活动产出完成及时性</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工作活动产出完成及时性</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6</w:t>
            </w:r>
          </w:p>
        </w:tc>
        <w:tc>
          <w:tcPr>
            <w:tcW w:w="2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反映工作活动产出目标实现的及时程度。</w:t>
            </w:r>
          </w:p>
        </w:tc>
        <w:tc>
          <w:tcPr>
            <w:tcW w:w="2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规定时间内完成的，得满分，未按时完成的根据实际情况和有关规定酌情扣分。</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6</w:t>
            </w:r>
          </w:p>
        </w:tc>
      </w:tr>
      <w:tr>
        <w:tblPrEx>
          <w:tblCellMar>
            <w:top w:w="0" w:type="dxa"/>
            <w:left w:w="0" w:type="dxa"/>
            <w:bottom w:w="0" w:type="dxa"/>
            <w:right w:w="0" w:type="dxa"/>
          </w:tblCellMar>
        </w:tblPrEx>
        <w:trPr>
          <w:trHeight w:val="1170" w:hRule="atLeast"/>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项目完成率</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项目完成率</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5</w:t>
            </w:r>
          </w:p>
        </w:tc>
        <w:tc>
          <w:tcPr>
            <w:tcW w:w="2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已完成的预算项目个数与即定预算项目个数的比率，用以反映该工作活动下的预算项目完成情况。</w:t>
            </w:r>
          </w:p>
        </w:tc>
        <w:tc>
          <w:tcPr>
            <w:tcW w:w="2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预算项目全部完成的得满分，未按时完成的根据实际情况酌情扣分。</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5</w:t>
            </w:r>
          </w:p>
        </w:tc>
      </w:tr>
      <w:tr>
        <w:tblPrEx>
          <w:tblCellMar>
            <w:top w:w="0" w:type="dxa"/>
            <w:left w:w="0" w:type="dxa"/>
            <w:bottom w:w="0" w:type="dxa"/>
            <w:right w:w="0" w:type="dxa"/>
          </w:tblCellMar>
        </w:tblPrEx>
        <w:trPr>
          <w:trHeight w:val="1068" w:hRule="atLeast"/>
        </w:trPr>
        <w:tc>
          <w:tcPr>
            <w:tcW w:w="7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“工作活动”效果（35）</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经济效益</w:t>
            </w: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根据具体工作活动细化</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9</w:t>
            </w:r>
          </w:p>
        </w:tc>
        <w:tc>
          <w:tcPr>
            <w:tcW w:w="2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评价该工作活动对当地经济发展所带来的直接或间接影响。</w:t>
            </w:r>
          </w:p>
        </w:tc>
        <w:tc>
          <w:tcPr>
            <w:tcW w:w="2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提高提高职工工作积极性，提高预报预测准确率，积极防御气象灾害，确保社会经济稳定发展。</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9</w:t>
            </w:r>
          </w:p>
        </w:tc>
      </w:tr>
      <w:tr>
        <w:tblPrEx>
          <w:tblCellMar>
            <w:top w:w="0" w:type="dxa"/>
            <w:left w:w="0" w:type="dxa"/>
            <w:bottom w:w="0" w:type="dxa"/>
            <w:right w:w="0" w:type="dxa"/>
          </w:tblCellMar>
        </w:tblPrEx>
        <w:trPr>
          <w:trHeight w:val="915" w:hRule="atLeast"/>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社会效益</w:t>
            </w: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9</w:t>
            </w:r>
          </w:p>
        </w:tc>
        <w:tc>
          <w:tcPr>
            <w:tcW w:w="2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评价该工作活动对当地社会发展和社会稳定所带来的直接或间接影响。</w:t>
            </w:r>
          </w:p>
        </w:tc>
        <w:tc>
          <w:tcPr>
            <w:tcW w:w="2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实现了社会的基本稳定，按时发放在职职工津补贴，单位基本稳定，不存在上访隐患。</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9</w:t>
            </w:r>
          </w:p>
        </w:tc>
      </w:tr>
      <w:tr>
        <w:tblPrEx>
          <w:tblCellMar>
            <w:top w:w="0" w:type="dxa"/>
            <w:left w:w="0" w:type="dxa"/>
            <w:bottom w:w="0" w:type="dxa"/>
            <w:right w:w="0" w:type="dxa"/>
          </w:tblCellMar>
        </w:tblPrEx>
        <w:trPr>
          <w:trHeight w:val="870" w:hRule="atLeast"/>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生态效益</w:t>
            </w: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9</w:t>
            </w:r>
          </w:p>
        </w:tc>
        <w:tc>
          <w:tcPr>
            <w:tcW w:w="2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评价该工作活动对当地自然生态环境所带来的直接或间接影响。</w:t>
            </w:r>
          </w:p>
        </w:tc>
        <w:tc>
          <w:tcPr>
            <w:tcW w:w="2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提高职工工作积极性，积极进行大气污染防治灾害工程，有效改善生态环境。</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9</w:t>
            </w:r>
          </w:p>
        </w:tc>
      </w:tr>
      <w:tr>
        <w:tblPrEx>
          <w:tblCellMar>
            <w:top w:w="0" w:type="dxa"/>
            <w:left w:w="0" w:type="dxa"/>
            <w:bottom w:w="0" w:type="dxa"/>
            <w:right w:w="0" w:type="dxa"/>
          </w:tblCellMar>
        </w:tblPrEx>
        <w:trPr>
          <w:trHeight w:val="1230" w:hRule="atLeast"/>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受益群体满意度</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受益群体满意度</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8</w:t>
            </w:r>
          </w:p>
        </w:tc>
        <w:tc>
          <w:tcPr>
            <w:tcW w:w="2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通过发放问卷进行社会调查，评价受益群体及相关群体对该项工作活动的认可程度。</w:t>
            </w:r>
          </w:p>
        </w:tc>
        <w:tc>
          <w:tcPr>
            <w:tcW w:w="2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职工调查问卷结果为优则分之为100%，良为80%，差为20%。</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8</w:t>
            </w:r>
          </w:p>
        </w:tc>
      </w:tr>
      <w:tr>
        <w:tblPrEx>
          <w:tblCellMar>
            <w:top w:w="0" w:type="dxa"/>
            <w:left w:w="0" w:type="dxa"/>
            <w:bottom w:w="0" w:type="dxa"/>
            <w:right w:w="0" w:type="dxa"/>
          </w:tblCellMar>
        </w:tblPrEx>
        <w:trPr>
          <w:trHeight w:val="405"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合计</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ascii="仿宋_GB2312" w:hAnsi="宋体" w:eastAsia="仿宋_GB2312" w:cs="仿宋_GB2312"/>
                <w:color w:val="000000"/>
                <w:sz w:val="20"/>
                <w:szCs w:val="20"/>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ascii="仿宋_GB2312" w:hAnsi="宋体" w:eastAsia="仿宋_GB2312" w:cs="仿宋_GB2312"/>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100</w:t>
            </w:r>
          </w:p>
        </w:tc>
        <w:tc>
          <w:tcPr>
            <w:tcW w:w="2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ascii="仿宋_GB2312" w:hAnsi="宋体" w:eastAsia="仿宋_GB2312" w:cs="仿宋_GB2312"/>
                <w:color w:val="000000"/>
                <w:sz w:val="20"/>
                <w:szCs w:val="20"/>
              </w:rPr>
            </w:pPr>
          </w:p>
        </w:tc>
        <w:tc>
          <w:tcPr>
            <w:tcW w:w="2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ascii="仿宋_GB2312" w:hAnsi="宋体" w:eastAsia="仿宋_GB2312" w:cs="仿宋_GB2312"/>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100</w:t>
            </w:r>
          </w:p>
        </w:tc>
      </w:tr>
      <w:tr>
        <w:tblPrEx>
          <w:tblCellMar>
            <w:top w:w="0" w:type="dxa"/>
            <w:left w:w="0" w:type="dxa"/>
            <w:bottom w:w="0" w:type="dxa"/>
            <w:right w:w="0" w:type="dxa"/>
          </w:tblCellMar>
        </w:tblPrEx>
        <w:trPr>
          <w:trHeight w:val="600" w:hRule="atLeast"/>
        </w:trPr>
        <w:tc>
          <w:tcPr>
            <w:tcW w:w="8633" w:type="dxa"/>
            <w:gridSpan w:val="7"/>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备注：如某项工作活动项下不涉及某个二级指标时，评价时请将该指标分值合理分摊到相应一级指标下的其他二级指标项下。</w:t>
            </w:r>
          </w:p>
        </w:tc>
      </w:tr>
    </w:tbl>
    <w:p>
      <w:pPr>
        <w:spacing w:line="560" w:lineRule="atLeast"/>
        <w:jc w:val="left"/>
        <w:rPr>
          <w:rFonts w:ascii="黑体" w:hAnsi="黑体" w:eastAsia="黑体" w:cs="黑体"/>
          <w:sz w:val="32"/>
          <w:szCs w:val="32"/>
        </w:rPr>
      </w:pPr>
    </w:p>
    <w:p>
      <w:pPr>
        <w:spacing w:line="560" w:lineRule="atLeast"/>
        <w:jc w:val="left"/>
        <w:rPr>
          <w:rFonts w:ascii="黑体" w:hAnsi="黑体" w:eastAsia="黑体" w:cs="黑体"/>
          <w:sz w:val="32"/>
          <w:szCs w:val="32"/>
        </w:rPr>
      </w:pPr>
    </w:p>
    <w:p>
      <w:pPr>
        <w:spacing w:line="560" w:lineRule="atLeast"/>
        <w:jc w:val="left"/>
        <w:rPr>
          <w:rFonts w:ascii="黑体" w:hAnsi="黑体" w:eastAsia="黑体" w:cs="黑体"/>
          <w:sz w:val="32"/>
          <w:szCs w:val="32"/>
        </w:rPr>
      </w:pPr>
    </w:p>
    <w:p>
      <w:pPr>
        <w:spacing w:line="560" w:lineRule="atLeast"/>
        <w:jc w:val="left"/>
        <w:rPr>
          <w:rFonts w:ascii="黑体" w:hAnsi="黑体" w:eastAsia="黑体" w:cs="黑体"/>
          <w:sz w:val="32"/>
          <w:szCs w:val="32"/>
        </w:rPr>
      </w:pPr>
    </w:p>
    <w:p>
      <w:pPr>
        <w:spacing w:line="560" w:lineRule="atLeast"/>
        <w:jc w:val="left"/>
        <w:rPr>
          <w:rFonts w:ascii="黑体" w:hAnsi="黑体" w:eastAsia="黑体" w:cs="黑体"/>
          <w:sz w:val="32"/>
          <w:szCs w:val="32"/>
        </w:rPr>
      </w:pPr>
    </w:p>
    <w:p>
      <w:pPr>
        <w:spacing w:line="560" w:lineRule="atLeast"/>
        <w:jc w:val="left"/>
        <w:rPr>
          <w:rFonts w:ascii="黑体" w:hAnsi="黑体" w:eastAsia="黑体" w:cs="黑体"/>
          <w:sz w:val="32"/>
          <w:szCs w:val="32"/>
        </w:rPr>
      </w:pPr>
    </w:p>
    <w:p>
      <w:pPr>
        <w:spacing w:line="560" w:lineRule="atLeast"/>
        <w:jc w:val="left"/>
        <w:rPr>
          <w:rFonts w:ascii="黑体" w:hAnsi="黑体" w:eastAsia="黑体" w:cs="黑体"/>
          <w:sz w:val="32"/>
          <w:szCs w:val="32"/>
        </w:rPr>
      </w:pPr>
    </w:p>
    <w:p>
      <w:pPr>
        <w:spacing w:line="560" w:lineRule="atLeast"/>
        <w:jc w:val="left"/>
        <w:rPr>
          <w:rFonts w:ascii="黑体" w:hAnsi="黑体" w:eastAsia="黑体" w:cs="黑体"/>
          <w:sz w:val="32"/>
          <w:szCs w:val="32"/>
        </w:rPr>
      </w:pPr>
    </w:p>
    <w:p>
      <w:pPr>
        <w:spacing w:line="560" w:lineRule="atLeast"/>
        <w:jc w:val="left"/>
        <w:rPr>
          <w:rFonts w:ascii="黑体" w:hAnsi="黑体" w:eastAsia="黑体" w:cs="黑体"/>
          <w:sz w:val="32"/>
          <w:szCs w:val="32"/>
        </w:rPr>
      </w:pPr>
    </w:p>
    <w:p>
      <w:pPr>
        <w:spacing w:line="560" w:lineRule="atLeast"/>
        <w:jc w:val="left"/>
        <w:rPr>
          <w:rFonts w:ascii="黑体" w:hAnsi="黑体" w:eastAsia="黑体" w:cs="黑体"/>
          <w:sz w:val="32"/>
          <w:szCs w:val="32"/>
        </w:rPr>
      </w:pPr>
    </w:p>
    <w:p>
      <w:pPr>
        <w:spacing w:line="560" w:lineRule="atLeast"/>
        <w:jc w:val="left"/>
        <w:rPr>
          <w:rFonts w:ascii="黑体" w:hAnsi="黑体" w:eastAsia="黑体" w:cs="黑体"/>
          <w:sz w:val="32"/>
          <w:szCs w:val="32"/>
        </w:rPr>
      </w:pPr>
    </w:p>
    <w:p>
      <w:pPr>
        <w:spacing w:line="560" w:lineRule="atLeast"/>
        <w:jc w:val="left"/>
        <w:rPr>
          <w:rFonts w:ascii="黑体" w:hAnsi="黑体" w:eastAsia="黑体" w:cs="黑体"/>
          <w:sz w:val="32"/>
          <w:szCs w:val="32"/>
        </w:rPr>
      </w:pPr>
    </w:p>
    <w:p>
      <w:pPr>
        <w:spacing w:line="560" w:lineRule="atLeast"/>
        <w:jc w:val="left"/>
        <w:rPr>
          <w:rFonts w:ascii="黑体" w:hAnsi="黑体" w:eastAsia="黑体" w:cs="黑体"/>
          <w:sz w:val="32"/>
          <w:szCs w:val="32"/>
        </w:rPr>
      </w:pPr>
    </w:p>
    <w:p>
      <w:pPr>
        <w:spacing w:line="560" w:lineRule="atLeast"/>
        <w:jc w:val="left"/>
        <w:rPr>
          <w:rFonts w:ascii="黑体" w:hAnsi="黑体" w:eastAsia="黑体" w:cs="黑体"/>
          <w:sz w:val="32"/>
          <w:szCs w:val="32"/>
        </w:rPr>
      </w:pPr>
    </w:p>
    <w:p>
      <w:pPr>
        <w:spacing w:line="560" w:lineRule="atLeast"/>
        <w:jc w:val="left"/>
        <w:rPr>
          <w:rFonts w:ascii="黑体" w:hAnsi="黑体" w:eastAsia="黑体" w:cs="黑体"/>
          <w:sz w:val="32"/>
          <w:szCs w:val="32"/>
        </w:rPr>
      </w:pPr>
    </w:p>
    <w:p>
      <w:pPr>
        <w:spacing w:line="560" w:lineRule="atLeast"/>
        <w:jc w:val="left"/>
        <w:rPr>
          <w:rFonts w:ascii="黑体" w:hAnsi="黑体" w:eastAsia="黑体" w:cs="黑体"/>
          <w:sz w:val="32"/>
          <w:szCs w:val="32"/>
        </w:rPr>
      </w:pPr>
    </w:p>
    <w:p>
      <w:pPr>
        <w:spacing w:line="560" w:lineRule="atLeast"/>
        <w:jc w:val="left"/>
        <w:rPr>
          <w:rFonts w:ascii="黑体" w:hAnsi="黑体" w:eastAsia="黑体" w:cs="黑体"/>
          <w:sz w:val="32"/>
          <w:szCs w:val="32"/>
        </w:rPr>
      </w:pPr>
      <w:bookmarkStart w:id="51" w:name="_GoBack"/>
      <w:bookmarkEnd w:id="51"/>
    </w:p>
    <w:p>
      <w:pPr>
        <w:spacing w:line="560" w:lineRule="atLeast"/>
        <w:jc w:val="left"/>
        <w:rPr>
          <w:rFonts w:ascii="黑体" w:hAnsi="黑体" w:eastAsia="黑体" w:cs="黑体"/>
          <w:sz w:val="32"/>
          <w:szCs w:val="32"/>
        </w:rPr>
      </w:pPr>
      <w:bookmarkStart w:id="29" w:name="_Toc24421_WPSOffice_Level1"/>
      <w:r>
        <w:rPr>
          <w:rFonts w:hint="eastAsia" w:ascii="黑体" w:hAnsi="黑体" w:eastAsia="黑体" w:cs="黑体"/>
          <w:sz w:val="32"/>
          <w:szCs w:val="32"/>
        </w:rPr>
        <w:t>四、工作活动(项目)绩效评价结论</w:t>
      </w:r>
      <w:bookmarkEnd w:id="29"/>
    </w:p>
    <w:tbl>
      <w:tblPr>
        <w:tblStyle w:val="8"/>
        <w:tblW w:w="9330" w:type="dxa"/>
        <w:tblInd w:w="0" w:type="dxa"/>
        <w:tblLayout w:type="fixed"/>
        <w:tblCellMar>
          <w:top w:w="0" w:type="dxa"/>
          <w:left w:w="0" w:type="dxa"/>
          <w:bottom w:w="0" w:type="dxa"/>
          <w:right w:w="0" w:type="dxa"/>
        </w:tblCellMar>
      </w:tblPr>
      <w:tblGrid>
        <w:gridCol w:w="1344"/>
        <w:gridCol w:w="1080"/>
        <w:gridCol w:w="1075"/>
        <w:gridCol w:w="1080"/>
        <w:gridCol w:w="1080"/>
        <w:gridCol w:w="1080"/>
        <w:gridCol w:w="1080"/>
        <w:gridCol w:w="1511"/>
      </w:tblGrid>
      <w:tr>
        <w:tblPrEx>
          <w:tblCellMar>
            <w:top w:w="0" w:type="dxa"/>
            <w:left w:w="0" w:type="dxa"/>
            <w:bottom w:w="0" w:type="dxa"/>
            <w:right w:w="0" w:type="dxa"/>
          </w:tblCellMar>
        </w:tblPrEx>
        <w:trPr>
          <w:trHeight w:val="686" w:hRule="atLeast"/>
        </w:trPr>
        <w:tc>
          <w:tcPr>
            <w:tcW w:w="9330"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工作活动(项目)绩效评价定级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优秀 √         良好 □      一般有效 □        无效 □        无法显示成效 □</w:t>
            </w:r>
          </w:p>
        </w:tc>
      </w:tr>
      <w:tr>
        <w:tblPrEx>
          <w:tblCellMar>
            <w:top w:w="0" w:type="dxa"/>
            <w:left w:w="0" w:type="dxa"/>
            <w:bottom w:w="0" w:type="dxa"/>
            <w:right w:w="0" w:type="dxa"/>
          </w:tblCellMar>
        </w:tblPrEx>
        <w:trPr>
          <w:trHeight w:val="660" w:hRule="atLeast"/>
        </w:trPr>
        <w:tc>
          <w:tcPr>
            <w:tcW w:w="1344"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需要说明问题</w:t>
            </w:r>
          </w:p>
        </w:tc>
        <w:tc>
          <w:tcPr>
            <w:tcW w:w="108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rPr>
                <w:rFonts w:ascii="仿宋_GB2312" w:hAnsi="宋体" w:eastAsia="仿宋_GB2312" w:cs="仿宋_GB2312"/>
                <w:color w:val="000000"/>
                <w:sz w:val="20"/>
                <w:szCs w:val="20"/>
              </w:rPr>
            </w:pPr>
          </w:p>
        </w:tc>
        <w:tc>
          <w:tcPr>
            <w:tcW w:w="1075" w:type="dxa"/>
            <w:tcBorders>
              <w:top w:val="single" w:color="000000" w:sz="4" w:space="0"/>
              <w:left w:val="nil"/>
              <w:bottom w:val="nil"/>
              <w:right w:val="nil"/>
            </w:tcBorders>
            <w:shd w:val="clear" w:color="auto" w:fill="FFFFFF"/>
            <w:tcMar>
              <w:top w:w="15" w:type="dxa"/>
              <w:left w:w="15" w:type="dxa"/>
              <w:right w:w="15" w:type="dxa"/>
            </w:tcMar>
            <w:vAlign w:val="center"/>
          </w:tcPr>
          <w:p>
            <w:pPr>
              <w:rPr>
                <w:rFonts w:ascii="仿宋_GB2312" w:hAnsi="宋体" w:eastAsia="仿宋_GB2312" w:cs="仿宋_GB2312"/>
                <w:color w:val="000000"/>
                <w:sz w:val="20"/>
                <w:szCs w:val="20"/>
              </w:rPr>
            </w:pPr>
          </w:p>
        </w:tc>
        <w:tc>
          <w:tcPr>
            <w:tcW w:w="1080" w:type="dxa"/>
            <w:tcBorders>
              <w:top w:val="single" w:color="000000" w:sz="4" w:space="0"/>
              <w:left w:val="nil"/>
              <w:bottom w:val="nil"/>
              <w:right w:val="nil"/>
            </w:tcBorders>
            <w:shd w:val="clear" w:color="auto" w:fill="FFFFFF"/>
            <w:tcMar>
              <w:top w:w="15" w:type="dxa"/>
              <w:left w:w="15" w:type="dxa"/>
              <w:right w:w="15" w:type="dxa"/>
            </w:tcMar>
            <w:vAlign w:val="center"/>
          </w:tcPr>
          <w:p>
            <w:pPr>
              <w:rPr>
                <w:rFonts w:ascii="仿宋_GB2312" w:hAnsi="宋体" w:eastAsia="仿宋_GB2312" w:cs="仿宋_GB2312"/>
                <w:color w:val="000000"/>
                <w:sz w:val="20"/>
                <w:szCs w:val="20"/>
              </w:rPr>
            </w:pPr>
          </w:p>
        </w:tc>
        <w:tc>
          <w:tcPr>
            <w:tcW w:w="1080" w:type="dxa"/>
            <w:tcBorders>
              <w:top w:val="single" w:color="000000" w:sz="4" w:space="0"/>
              <w:left w:val="nil"/>
              <w:bottom w:val="nil"/>
              <w:right w:val="nil"/>
            </w:tcBorders>
            <w:shd w:val="clear" w:color="auto" w:fill="FFFFFF"/>
            <w:tcMar>
              <w:top w:w="15" w:type="dxa"/>
              <w:left w:w="15" w:type="dxa"/>
              <w:right w:w="15" w:type="dxa"/>
            </w:tcMar>
            <w:vAlign w:val="center"/>
          </w:tcPr>
          <w:p>
            <w:pPr>
              <w:rPr>
                <w:rFonts w:ascii="仿宋_GB2312" w:hAnsi="宋体" w:eastAsia="仿宋_GB2312" w:cs="仿宋_GB2312"/>
                <w:color w:val="000000"/>
                <w:sz w:val="20"/>
                <w:szCs w:val="20"/>
              </w:rPr>
            </w:pPr>
          </w:p>
        </w:tc>
        <w:tc>
          <w:tcPr>
            <w:tcW w:w="1080" w:type="dxa"/>
            <w:tcBorders>
              <w:top w:val="single" w:color="000000" w:sz="4" w:space="0"/>
              <w:left w:val="nil"/>
              <w:bottom w:val="nil"/>
              <w:right w:val="nil"/>
            </w:tcBorders>
            <w:shd w:val="clear" w:color="auto" w:fill="FFFFFF"/>
            <w:tcMar>
              <w:top w:w="15" w:type="dxa"/>
              <w:left w:w="15" w:type="dxa"/>
              <w:right w:w="15" w:type="dxa"/>
            </w:tcMar>
            <w:vAlign w:val="center"/>
          </w:tcPr>
          <w:p>
            <w:pPr>
              <w:rPr>
                <w:rFonts w:ascii="仿宋_GB2312" w:hAnsi="宋体" w:eastAsia="仿宋_GB2312" w:cs="仿宋_GB2312"/>
                <w:color w:val="000000"/>
                <w:sz w:val="20"/>
                <w:szCs w:val="20"/>
              </w:rPr>
            </w:pPr>
          </w:p>
        </w:tc>
        <w:tc>
          <w:tcPr>
            <w:tcW w:w="1080" w:type="dxa"/>
            <w:tcBorders>
              <w:top w:val="single" w:color="000000" w:sz="4" w:space="0"/>
              <w:left w:val="nil"/>
              <w:bottom w:val="nil"/>
              <w:right w:val="nil"/>
            </w:tcBorders>
            <w:shd w:val="clear" w:color="auto" w:fill="FFFFFF"/>
            <w:tcMar>
              <w:top w:w="15" w:type="dxa"/>
              <w:left w:w="15" w:type="dxa"/>
              <w:right w:w="15" w:type="dxa"/>
            </w:tcMar>
            <w:vAlign w:val="center"/>
          </w:tcPr>
          <w:p>
            <w:pPr>
              <w:rPr>
                <w:rFonts w:ascii="仿宋_GB2312" w:hAnsi="宋体" w:eastAsia="仿宋_GB2312" w:cs="仿宋_GB2312"/>
                <w:color w:val="000000"/>
                <w:sz w:val="20"/>
                <w:szCs w:val="20"/>
              </w:rPr>
            </w:pPr>
          </w:p>
        </w:tc>
        <w:tc>
          <w:tcPr>
            <w:tcW w:w="1511" w:type="dxa"/>
            <w:tcBorders>
              <w:top w:val="single" w:color="000000" w:sz="4" w:space="0"/>
              <w:left w:val="nil"/>
              <w:bottom w:val="nil"/>
              <w:right w:val="single" w:color="000000" w:sz="4" w:space="0"/>
            </w:tcBorders>
            <w:shd w:val="clear" w:color="auto" w:fill="FFFFFF"/>
            <w:tcMar>
              <w:top w:w="15" w:type="dxa"/>
              <w:left w:w="15" w:type="dxa"/>
              <w:right w:w="15" w:type="dxa"/>
            </w:tcMar>
            <w:vAlign w:val="center"/>
          </w:tcPr>
          <w:p>
            <w:pPr>
              <w:rPr>
                <w:rFonts w:ascii="仿宋_GB2312" w:hAnsi="宋体" w:eastAsia="仿宋_GB2312" w:cs="仿宋_GB2312"/>
                <w:color w:val="000000"/>
                <w:sz w:val="20"/>
                <w:szCs w:val="20"/>
              </w:rPr>
            </w:pPr>
          </w:p>
        </w:tc>
      </w:tr>
      <w:tr>
        <w:tblPrEx>
          <w:tblCellMar>
            <w:top w:w="0" w:type="dxa"/>
            <w:left w:w="0" w:type="dxa"/>
            <w:bottom w:w="0" w:type="dxa"/>
            <w:right w:w="0" w:type="dxa"/>
          </w:tblCellMar>
        </w:tblPrEx>
        <w:trPr>
          <w:trHeight w:val="640"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1080" w:type="dxa"/>
            <w:tcBorders>
              <w:top w:val="nil"/>
              <w:left w:val="single" w:color="000000" w:sz="4" w:space="0"/>
              <w:bottom w:val="nil"/>
              <w:right w:val="nil"/>
            </w:tcBorders>
            <w:shd w:val="clear" w:color="auto" w:fill="FFFFFF"/>
            <w:tcMar>
              <w:top w:w="15" w:type="dxa"/>
              <w:left w:w="15" w:type="dxa"/>
              <w:right w:w="15" w:type="dxa"/>
            </w:tcMar>
            <w:vAlign w:val="center"/>
          </w:tcPr>
          <w:p>
            <w:pPr>
              <w:rPr>
                <w:rFonts w:ascii="仿宋_GB2312" w:hAnsi="宋体" w:eastAsia="仿宋_GB2312" w:cs="仿宋_GB2312"/>
                <w:color w:val="000000"/>
                <w:sz w:val="20"/>
                <w:szCs w:val="20"/>
              </w:rPr>
            </w:pPr>
          </w:p>
        </w:tc>
        <w:tc>
          <w:tcPr>
            <w:tcW w:w="1075" w:type="dxa"/>
            <w:tcBorders>
              <w:top w:val="nil"/>
              <w:left w:val="nil"/>
              <w:bottom w:val="nil"/>
              <w:right w:val="nil"/>
            </w:tcBorders>
            <w:shd w:val="clear" w:color="auto" w:fill="FFFFFF"/>
            <w:tcMar>
              <w:top w:w="15" w:type="dxa"/>
              <w:left w:w="15" w:type="dxa"/>
              <w:right w:w="15" w:type="dxa"/>
            </w:tcMar>
            <w:vAlign w:val="center"/>
          </w:tcPr>
          <w:p>
            <w:pPr>
              <w:rPr>
                <w:rFonts w:ascii="仿宋_GB2312" w:hAnsi="宋体" w:eastAsia="仿宋_GB2312" w:cs="仿宋_GB2312"/>
                <w:color w:val="000000"/>
                <w:sz w:val="20"/>
                <w:szCs w:val="20"/>
              </w:rPr>
            </w:pPr>
          </w:p>
        </w:tc>
        <w:tc>
          <w:tcPr>
            <w:tcW w:w="1080" w:type="dxa"/>
            <w:tcBorders>
              <w:top w:val="nil"/>
              <w:left w:val="nil"/>
              <w:bottom w:val="nil"/>
              <w:right w:val="nil"/>
            </w:tcBorders>
            <w:shd w:val="clear" w:color="auto" w:fill="FFFFFF"/>
            <w:tcMar>
              <w:top w:w="15" w:type="dxa"/>
              <w:left w:w="15" w:type="dxa"/>
              <w:right w:w="15" w:type="dxa"/>
            </w:tcMar>
            <w:vAlign w:val="center"/>
          </w:tcPr>
          <w:p>
            <w:pPr>
              <w:rPr>
                <w:rFonts w:ascii="仿宋_GB2312" w:hAnsi="宋体" w:eastAsia="仿宋_GB2312" w:cs="仿宋_GB2312"/>
                <w:color w:val="000000"/>
                <w:sz w:val="20"/>
                <w:szCs w:val="20"/>
              </w:rPr>
            </w:pPr>
          </w:p>
        </w:tc>
        <w:tc>
          <w:tcPr>
            <w:tcW w:w="1080" w:type="dxa"/>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无</w:t>
            </w:r>
          </w:p>
        </w:tc>
        <w:tc>
          <w:tcPr>
            <w:tcW w:w="1080" w:type="dxa"/>
            <w:tcBorders>
              <w:top w:val="nil"/>
              <w:left w:val="nil"/>
              <w:bottom w:val="nil"/>
              <w:right w:val="nil"/>
            </w:tcBorders>
            <w:shd w:val="clear" w:color="auto" w:fill="FFFFFF"/>
            <w:tcMar>
              <w:top w:w="15" w:type="dxa"/>
              <w:left w:w="15" w:type="dxa"/>
              <w:right w:w="15" w:type="dxa"/>
            </w:tcMar>
            <w:vAlign w:val="center"/>
          </w:tcPr>
          <w:p>
            <w:pPr>
              <w:rPr>
                <w:rFonts w:ascii="仿宋_GB2312" w:hAnsi="宋体" w:eastAsia="仿宋_GB2312" w:cs="仿宋_GB2312"/>
                <w:color w:val="000000"/>
                <w:sz w:val="20"/>
                <w:szCs w:val="20"/>
              </w:rPr>
            </w:pPr>
          </w:p>
        </w:tc>
        <w:tc>
          <w:tcPr>
            <w:tcW w:w="1080" w:type="dxa"/>
            <w:tcBorders>
              <w:top w:val="nil"/>
              <w:left w:val="nil"/>
              <w:bottom w:val="nil"/>
              <w:right w:val="nil"/>
            </w:tcBorders>
            <w:shd w:val="clear" w:color="auto" w:fill="FFFFFF"/>
            <w:tcMar>
              <w:top w:w="15" w:type="dxa"/>
              <w:left w:w="15" w:type="dxa"/>
              <w:right w:w="15" w:type="dxa"/>
            </w:tcMar>
            <w:vAlign w:val="center"/>
          </w:tcPr>
          <w:p>
            <w:pPr>
              <w:rPr>
                <w:rFonts w:ascii="仿宋_GB2312" w:hAnsi="宋体" w:eastAsia="仿宋_GB2312" w:cs="仿宋_GB2312"/>
                <w:color w:val="000000"/>
                <w:sz w:val="20"/>
                <w:szCs w:val="20"/>
              </w:rPr>
            </w:pPr>
          </w:p>
        </w:tc>
        <w:tc>
          <w:tcPr>
            <w:tcW w:w="1511" w:type="dxa"/>
            <w:tcBorders>
              <w:top w:val="nil"/>
              <w:left w:val="nil"/>
              <w:bottom w:val="nil"/>
              <w:right w:val="single" w:color="000000" w:sz="4" w:space="0"/>
            </w:tcBorders>
            <w:shd w:val="clear" w:color="auto" w:fill="FFFFFF"/>
            <w:tcMar>
              <w:top w:w="15" w:type="dxa"/>
              <w:left w:w="15" w:type="dxa"/>
              <w:right w:w="15" w:type="dxa"/>
            </w:tcMar>
            <w:vAlign w:val="center"/>
          </w:tcPr>
          <w:p>
            <w:pPr>
              <w:rPr>
                <w:rFonts w:ascii="仿宋_GB2312" w:hAnsi="宋体" w:eastAsia="仿宋_GB2312" w:cs="仿宋_GB2312"/>
                <w:color w:val="000000"/>
                <w:sz w:val="20"/>
                <w:szCs w:val="20"/>
              </w:rPr>
            </w:pPr>
          </w:p>
        </w:tc>
      </w:tr>
      <w:tr>
        <w:tblPrEx>
          <w:tblCellMar>
            <w:top w:w="0" w:type="dxa"/>
            <w:left w:w="0" w:type="dxa"/>
            <w:bottom w:w="0" w:type="dxa"/>
            <w:right w:w="0" w:type="dxa"/>
          </w:tblCellMar>
        </w:tblPrEx>
        <w:trPr>
          <w:trHeight w:val="1005"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1080" w:type="dxa"/>
            <w:tcBorders>
              <w:top w:val="nil"/>
              <w:left w:val="single" w:color="000000" w:sz="4" w:space="0"/>
              <w:bottom w:val="nil"/>
              <w:right w:val="nil"/>
            </w:tcBorders>
            <w:shd w:val="clear" w:color="auto" w:fill="FFFFFF"/>
            <w:tcMar>
              <w:top w:w="15" w:type="dxa"/>
              <w:left w:w="15" w:type="dxa"/>
              <w:right w:w="15" w:type="dxa"/>
            </w:tcMar>
            <w:vAlign w:val="center"/>
          </w:tcPr>
          <w:p>
            <w:pPr>
              <w:rPr>
                <w:rFonts w:ascii="仿宋_GB2312" w:hAnsi="宋体" w:eastAsia="仿宋_GB2312" w:cs="仿宋_GB2312"/>
                <w:color w:val="000000"/>
                <w:sz w:val="20"/>
                <w:szCs w:val="20"/>
              </w:rPr>
            </w:pPr>
          </w:p>
        </w:tc>
        <w:tc>
          <w:tcPr>
            <w:tcW w:w="1075" w:type="dxa"/>
            <w:tcBorders>
              <w:top w:val="nil"/>
              <w:left w:val="nil"/>
              <w:bottom w:val="nil"/>
              <w:right w:val="nil"/>
            </w:tcBorders>
            <w:shd w:val="clear" w:color="auto" w:fill="FFFFFF"/>
            <w:tcMar>
              <w:top w:w="15" w:type="dxa"/>
              <w:left w:w="15" w:type="dxa"/>
              <w:right w:w="15" w:type="dxa"/>
            </w:tcMar>
            <w:vAlign w:val="center"/>
          </w:tcPr>
          <w:p>
            <w:pPr>
              <w:rPr>
                <w:rFonts w:ascii="仿宋_GB2312" w:hAnsi="宋体" w:eastAsia="仿宋_GB2312" w:cs="仿宋_GB2312"/>
                <w:color w:val="000000"/>
                <w:sz w:val="20"/>
                <w:szCs w:val="20"/>
              </w:rPr>
            </w:pPr>
          </w:p>
        </w:tc>
        <w:tc>
          <w:tcPr>
            <w:tcW w:w="1080" w:type="dxa"/>
            <w:tcBorders>
              <w:top w:val="nil"/>
              <w:left w:val="nil"/>
              <w:bottom w:val="nil"/>
              <w:right w:val="nil"/>
            </w:tcBorders>
            <w:shd w:val="clear" w:color="auto" w:fill="FFFFFF"/>
            <w:tcMar>
              <w:top w:w="15" w:type="dxa"/>
              <w:left w:w="15" w:type="dxa"/>
              <w:right w:w="15" w:type="dxa"/>
            </w:tcMar>
            <w:vAlign w:val="center"/>
          </w:tcPr>
          <w:p>
            <w:pPr>
              <w:rPr>
                <w:rFonts w:ascii="仿宋_GB2312" w:hAnsi="宋体" w:eastAsia="仿宋_GB2312" w:cs="仿宋_GB2312"/>
                <w:color w:val="000000"/>
                <w:sz w:val="20"/>
                <w:szCs w:val="20"/>
              </w:rPr>
            </w:pPr>
          </w:p>
        </w:tc>
        <w:tc>
          <w:tcPr>
            <w:tcW w:w="1080" w:type="dxa"/>
            <w:tcBorders>
              <w:top w:val="nil"/>
              <w:left w:val="nil"/>
              <w:bottom w:val="nil"/>
              <w:right w:val="nil"/>
            </w:tcBorders>
            <w:shd w:val="clear" w:color="auto" w:fill="FFFFFF"/>
            <w:tcMar>
              <w:top w:w="15" w:type="dxa"/>
              <w:left w:w="15" w:type="dxa"/>
              <w:right w:w="15" w:type="dxa"/>
            </w:tcMar>
            <w:vAlign w:val="center"/>
          </w:tcPr>
          <w:p>
            <w:pPr>
              <w:rPr>
                <w:rFonts w:ascii="仿宋_GB2312" w:hAnsi="宋体" w:eastAsia="仿宋_GB2312" w:cs="仿宋_GB2312"/>
                <w:color w:val="000000"/>
                <w:sz w:val="20"/>
                <w:szCs w:val="20"/>
              </w:rPr>
            </w:pPr>
          </w:p>
        </w:tc>
        <w:tc>
          <w:tcPr>
            <w:tcW w:w="1080" w:type="dxa"/>
            <w:tcBorders>
              <w:top w:val="nil"/>
              <w:left w:val="nil"/>
              <w:bottom w:val="nil"/>
              <w:right w:val="nil"/>
            </w:tcBorders>
            <w:shd w:val="clear" w:color="auto" w:fill="FFFFFF"/>
            <w:tcMar>
              <w:top w:w="15" w:type="dxa"/>
              <w:left w:w="15" w:type="dxa"/>
              <w:right w:w="15" w:type="dxa"/>
            </w:tcMar>
            <w:vAlign w:val="center"/>
          </w:tcPr>
          <w:p>
            <w:pPr>
              <w:rPr>
                <w:rFonts w:ascii="仿宋_GB2312" w:hAnsi="宋体" w:eastAsia="仿宋_GB2312" w:cs="仿宋_GB2312"/>
                <w:color w:val="000000"/>
                <w:sz w:val="20"/>
                <w:szCs w:val="20"/>
              </w:rPr>
            </w:pPr>
          </w:p>
        </w:tc>
        <w:tc>
          <w:tcPr>
            <w:tcW w:w="1080" w:type="dxa"/>
            <w:tcBorders>
              <w:top w:val="nil"/>
              <w:left w:val="nil"/>
              <w:bottom w:val="nil"/>
              <w:right w:val="nil"/>
            </w:tcBorders>
            <w:shd w:val="clear" w:color="auto" w:fill="FFFFFF"/>
            <w:tcMar>
              <w:top w:w="15" w:type="dxa"/>
              <w:left w:w="15" w:type="dxa"/>
              <w:right w:w="15" w:type="dxa"/>
            </w:tcMar>
            <w:vAlign w:val="center"/>
          </w:tcPr>
          <w:p>
            <w:pPr>
              <w:rPr>
                <w:rFonts w:ascii="仿宋_GB2312" w:hAnsi="宋体" w:eastAsia="仿宋_GB2312" w:cs="仿宋_GB2312"/>
                <w:color w:val="000000"/>
                <w:sz w:val="20"/>
                <w:szCs w:val="20"/>
              </w:rPr>
            </w:pPr>
          </w:p>
        </w:tc>
        <w:tc>
          <w:tcPr>
            <w:tcW w:w="1511" w:type="dxa"/>
            <w:tcBorders>
              <w:top w:val="nil"/>
              <w:left w:val="nil"/>
              <w:bottom w:val="nil"/>
              <w:right w:val="single" w:color="000000" w:sz="4" w:space="0"/>
            </w:tcBorders>
            <w:shd w:val="clear" w:color="auto" w:fill="FFFFFF"/>
            <w:tcMar>
              <w:top w:w="15" w:type="dxa"/>
              <w:left w:w="15" w:type="dxa"/>
              <w:right w:w="15" w:type="dxa"/>
            </w:tcMar>
            <w:vAlign w:val="center"/>
          </w:tcPr>
          <w:p>
            <w:pPr>
              <w:rPr>
                <w:rFonts w:ascii="仿宋_GB2312" w:hAnsi="宋体" w:eastAsia="仿宋_GB2312" w:cs="仿宋_GB2312"/>
                <w:color w:val="000000"/>
                <w:sz w:val="20"/>
                <w:szCs w:val="20"/>
              </w:rPr>
            </w:pPr>
          </w:p>
        </w:tc>
      </w:tr>
      <w:tr>
        <w:tblPrEx>
          <w:tblCellMar>
            <w:top w:w="0" w:type="dxa"/>
            <w:left w:w="0" w:type="dxa"/>
            <w:bottom w:w="0" w:type="dxa"/>
            <w:right w:w="0" w:type="dxa"/>
          </w:tblCellMar>
        </w:tblPrEx>
        <w:trPr>
          <w:trHeight w:val="90"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1080" w:type="dxa"/>
            <w:tcBorders>
              <w:top w:val="nil"/>
              <w:left w:val="single" w:color="000000" w:sz="4" w:space="0"/>
              <w:bottom w:val="single" w:color="000000" w:sz="4" w:space="0"/>
              <w:right w:val="nil"/>
            </w:tcBorders>
            <w:shd w:val="clear" w:color="auto" w:fill="FFFFFF"/>
            <w:tcMar>
              <w:top w:w="15" w:type="dxa"/>
              <w:left w:w="15" w:type="dxa"/>
              <w:right w:w="15" w:type="dxa"/>
            </w:tcMar>
            <w:vAlign w:val="center"/>
          </w:tcPr>
          <w:p>
            <w:pPr>
              <w:rPr>
                <w:rFonts w:ascii="仿宋_GB2312" w:hAnsi="宋体" w:eastAsia="仿宋_GB2312" w:cs="仿宋_GB2312"/>
                <w:color w:val="000000"/>
                <w:sz w:val="20"/>
                <w:szCs w:val="20"/>
              </w:rPr>
            </w:pPr>
          </w:p>
        </w:tc>
        <w:tc>
          <w:tcPr>
            <w:tcW w:w="1075" w:type="dxa"/>
            <w:tcBorders>
              <w:top w:val="nil"/>
              <w:left w:val="nil"/>
              <w:bottom w:val="single" w:color="000000" w:sz="4" w:space="0"/>
              <w:right w:val="nil"/>
            </w:tcBorders>
            <w:shd w:val="clear" w:color="auto" w:fill="FFFFFF"/>
            <w:tcMar>
              <w:top w:w="15" w:type="dxa"/>
              <w:left w:w="15" w:type="dxa"/>
              <w:right w:w="15" w:type="dxa"/>
            </w:tcMar>
            <w:vAlign w:val="center"/>
          </w:tcPr>
          <w:p>
            <w:pPr>
              <w:rPr>
                <w:rFonts w:ascii="仿宋_GB2312" w:hAnsi="宋体" w:eastAsia="仿宋_GB2312" w:cs="仿宋_GB2312"/>
                <w:color w:val="000000"/>
                <w:sz w:val="20"/>
                <w:szCs w:val="20"/>
              </w:rPr>
            </w:pPr>
          </w:p>
        </w:tc>
        <w:tc>
          <w:tcPr>
            <w:tcW w:w="1080" w:type="dxa"/>
            <w:tcBorders>
              <w:top w:val="nil"/>
              <w:left w:val="nil"/>
              <w:bottom w:val="single" w:color="000000" w:sz="4" w:space="0"/>
              <w:right w:val="nil"/>
            </w:tcBorders>
            <w:shd w:val="clear" w:color="auto" w:fill="FFFFFF"/>
            <w:tcMar>
              <w:top w:w="15" w:type="dxa"/>
              <w:left w:w="15" w:type="dxa"/>
              <w:right w:w="15" w:type="dxa"/>
            </w:tcMar>
            <w:vAlign w:val="center"/>
          </w:tcPr>
          <w:p>
            <w:pPr>
              <w:rPr>
                <w:rFonts w:ascii="仿宋_GB2312" w:hAnsi="宋体" w:eastAsia="仿宋_GB2312" w:cs="仿宋_GB2312"/>
                <w:color w:val="000000"/>
                <w:sz w:val="20"/>
                <w:szCs w:val="20"/>
              </w:rPr>
            </w:pPr>
          </w:p>
        </w:tc>
        <w:tc>
          <w:tcPr>
            <w:tcW w:w="1080" w:type="dxa"/>
            <w:tcBorders>
              <w:top w:val="nil"/>
              <w:left w:val="nil"/>
              <w:bottom w:val="single" w:color="000000" w:sz="4" w:space="0"/>
              <w:right w:val="nil"/>
            </w:tcBorders>
            <w:shd w:val="clear" w:color="auto" w:fill="FFFFFF"/>
            <w:tcMar>
              <w:top w:w="15" w:type="dxa"/>
              <w:left w:w="15" w:type="dxa"/>
              <w:right w:w="15" w:type="dxa"/>
            </w:tcMar>
            <w:vAlign w:val="center"/>
          </w:tcPr>
          <w:p>
            <w:pPr>
              <w:rPr>
                <w:rFonts w:ascii="仿宋_GB2312" w:hAnsi="宋体" w:eastAsia="仿宋_GB2312" w:cs="仿宋_GB2312"/>
                <w:color w:val="000000"/>
                <w:sz w:val="20"/>
                <w:szCs w:val="20"/>
              </w:rPr>
            </w:pPr>
          </w:p>
        </w:tc>
        <w:tc>
          <w:tcPr>
            <w:tcW w:w="1080" w:type="dxa"/>
            <w:tcBorders>
              <w:top w:val="nil"/>
              <w:left w:val="nil"/>
              <w:bottom w:val="single" w:color="000000" w:sz="4" w:space="0"/>
              <w:right w:val="nil"/>
            </w:tcBorders>
            <w:shd w:val="clear" w:color="auto" w:fill="FFFFFF"/>
            <w:tcMar>
              <w:top w:w="15" w:type="dxa"/>
              <w:left w:w="15" w:type="dxa"/>
              <w:right w:w="15" w:type="dxa"/>
            </w:tcMar>
            <w:vAlign w:val="center"/>
          </w:tcPr>
          <w:p>
            <w:pPr>
              <w:rPr>
                <w:rFonts w:ascii="仿宋_GB2312" w:hAnsi="宋体" w:eastAsia="仿宋_GB2312" w:cs="仿宋_GB2312"/>
                <w:color w:val="000000"/>
                <w:sz w:val="20"/>
                <w:szCs w:val="20"/>
              </w:rPr>
            </w:pPr>
          </w:p>
        </w:tc>
        <w:tc>
          <w:tcPr>
            <w:tcW w:w="1080" w:type="dxa"/>
            <w:tcBorders>
              <w:top w:val="nil"/>
              <w:left w:val="nil"/>
              <w:bottom w:val="single" w:color="000000" w:sz="4" w:space="0"/>
              <w:right w:val="nil"/>
            </w:tcBorders>
            <w:shd w:val="clear" w:color="auto" w:fill="FFFFFF"/>
            <w:tcMar>
              <w:top w:w="15" w:type="dxa"/>
              <w:left w:w="15" w:type="dxa"/>
              <w:right w:w="15" w:type="dxa"/>
            </w:tcMar>
            <w:vAlign w:val="center"/>
          </w:tcPr>
          <w:p>
            <w:pPr>
              <w:rPr>
                <w:rFonts w:ascii="仿宋_GB2312" w:hAnsi="宋体" w:eastAsia="仿宋_GB2312" w:cs="仿宋_GB2312"/>
                <w:color w:val="000000"/>
                <w:sz w:val="20"/>
                <w:szCs w:val="20"/>
              </w:rPr>
            </w:pPr>
          </w:p>
        </w:tc>
        <w:tc>
          <w:tcPr>
            <w:tcW w:w="151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rPr>
                <w:rFonts w:ascii="仿宋_GB2312" w:hAnsi="宋体" w:eastAsia="仿宋_GB2312" w:cs="仿宋_GB2312"/>
                <w:color w:val="000000"/>
                <w:sz w:val="20"/>
                <w:szCs w:val="20"/>
              </w:rPr>
            </w:pPr>
          </w:p>
        </w:tc>
      </w:tr>
      <w:tr>
        <w:tblPrEx>
          <w:tblCellMar>
            <w:top w:w="0" w:type="dxa"/>
            <w:left w:w="0" w:type="dxa"/>
            <w:bottom w:w="0" w:type="dxa"/>
            <w:right w:w="0" w:type="dxa"/>
          </w:tblCellMar>
        </w:tblPrEx>
        <w:trPr>
          <w:trHeight w:val="525" w:hRule="atLeast"/>
        </w:trPr>
        <w:tc>
          <w:tcPr>
            <w:tcW w:w="13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自评人员</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姓名</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职称/职务</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工作单位</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本人签字</w:t>
            </w:r>
          </w:p>
        </w:tc>
      </w:tr>
      <w:tr>
        <w:tblPrEx>
          <w:tblCellMar>
            <w:top w:w="0" w:type="dxa"/>
            <w:left w:w="0" w:type="dxa"/>
            <w:bottom w:w="0" w:type="dxa"/>
            <w:right w:w="0" w:type="dxa"/>
          </w:tblCellMar>
        </w:tblPrEx>
        <w:trPr>
          <w:trHeight w:val="525"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0"/>
                <w:szCs w:val="20"/>
                <w:lang w:eastAsia="zh-CN"/>
              </w:rPr>
            </w:pPr>
            <w:r>
              <w:rPr>
                <w:rFonts w:hint="eastAsia" w:ascii="仿宋_GB2312" w:hAnsi="宋体" w:eastAsia="仿宋_GB2312" w:cs="仿宋_GB2312"/>
                <w:color w:val="000000"/>
                <w:kern w:val="0"/>
                <w:sz w:val="20"/>
                <w:szCs w:val="20"/>
                <w:lang w:eastAsia="zh-CN"/>
              </w:rPr>
              <w:t>张庆广</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科长</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邢台市气象局</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宋体" w:eastAsia="仿宋_GB2312" w:cs="仿宋_GB2312"/>
                <w:color w:val="000000"/>
                <w:sz w:val="20"/>
                <w:szCs w:val="20"/>
              </w:rPr>
            </w:pPr>
          </w:p>
        </w:tc>
      </w:tr>
      <w:tr>
        <w:tblPrEx>
          <w:tblCellMar>
            <w:top w:w="0" w:type="dxa"/>
            <w:left w:w="0" w:type="dxa"/>
            <w:bottom w:w="0" w:type="dxa"/>
            <w:right w:w="0" w:type="dxa"/>
          </w:tblCellMar>
        </w:tblPrEx>
        <w:trPr>
          <w:trHeight w:val="525"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0"/>
                <w:szCs w:val="20"/>
                <w:lang w:eastAsia="zh-CN"/>
              </w:rPr>
            </w:pPr>
            <w:r>
              <w:rPr>
                <w:rFonts w:hint="eastAsia" w:ascii="仿宋_GB2312" w:hAnsi="宋体" w:eastAsia="仿宋_GB2312" w:cs="仿宋_GB2312"/>
                <w:color w:val="000000"/>
                <w:kern w:val="0"/>
                <w:sz w:val="20"/>
                <w:szCs w:val="20"/>
                <w:lang w:eastAsia="zh-CN"/>
              </w:rPr>
              <w:t>杨洁</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科长</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邢台市气象局</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宋体" w:eastAsia="仿宋_GB2312" w:cs="仿宋_GB2312"/>
                <w:color w:val="000000"/>
                <w:sz w:val="20"/>
                <w:szCs w:val="20"/>
              </w:rPr>
            </w:pPr>
          </w:p>
        </w:tc>
      </w:tr>
      <w:tr>
        <w:tblPrEx>
          <w:tblCellMar>
            <w:top w:w="0" w:type="dxa"/>
            <w:left w:w="0" w:type="dxa"/>
            <w:bottom w:w="0" w:type="dxa"/>
            <w:right w:w="0" w:type="dxa"/>
          </w:tblCellMar>
        </w:tblPrEx>
        <w:trPr>
          <w:trHeight w:val="525"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徐艳萍</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邢台市气象局</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宋体" w:eastAsia="仿宋_GB2312" w:cs="仿宋_GB2312"/>
                <w:color w:val="000000"/>
                <w:sz w:val="20"/>
                <w:szCs w:val="20"/>
              </w:rPr>
            </w:pPr>
          </w:p>
        </w:tc>
      </w:tr>
      <w:tr>
        <w:tblPrEx>
          <w:tblCellMar>
            <w:top w:w="0" w:type="dxa"/>
            <w:left w:w="0" w:type="dxa"/>
            <w:bottom w:w="0" w:type="dxa"/>
            <w:right w:w="0" w:type="dxa"/>
          </w:tblCellMar>
        </w:tblPrEx>
        <w:trPr>
          <w:trHeight w:val="525"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刘慧慧</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邢台市气象局</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宋体" w:eastAsia="仿宋_GB2312" w:cs="仿宋_GB2312"/>
                <w:color w:val="000000"/>
                <w:sz w:val="20"/>
                <w:szCs w:val="20"/>
              </w:rPr>
            </w:pPr>
          </w:p>
        </w:tc>
      </w:tr>
      <w:tr>
        <w:tblPrEx>
          <w:tblCellMar>
            <w:top w:w="0" w:type="dxa"/>
            <w:left w:w="0" w:type="dxa"/>
            <w:bottom w:w="0" w:type="dxa"/>
            <w:right w:w="0" w:type="dxa"/>
          </w:tblCellMar>
        </w:tblPrEx>
        <w:trPr>
          <w:trHeight w:val="885" w:hRule="atLeast"/>
        </w:trPr>
        <w:tc>
          <w:tcPr>
            <w:tcW w:w="9330" w:type="dxa"/>
            <w:gridSpan w:val="8"/>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bottom"/>
          </w:tcPr>
          <w:p>
            <w:pPr>
              <w:widowControl/>
              <w:jc w:val="left"/>
              <w:textAlignment w:val="bottom"/>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 xml:space="preserve">   填报人（签字）：               评价组组长（签字）：</w:t>
            </w:r>
          </w:p>
        </w:tc>
      </w:tr>
      <w:tr>
        <w:tblPrEx>
          <w:tblCellMar>
            <w:top w:w="0" w:type="dxa"/>
            <w:left w:w="0" w:type="dxa"/>
            <w:bottom w:w="0" w:type="dxa"/>
            <w:right w:w="0" w:type="dxa"/>
          </w:tblCellMar>
        </w:tblPrEx>
        <w:trPr>
          <w:trHeight w:val="525" w:hRule="atLeast"/>
        </w:trPr>
        <w:tc>
          <w:tcPr>
            <w:tcW w:w="9330" w:type="dxa"/>
            <w:gridSpan w:val="8"/>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 xml:space="preserve">                                                               年   月   日</w:t>
            </w:r>
          </w:p>
        </w:tc>
      </w:tr>
      <w:tr>
        <w:tblPrEx>
          <w:tblCellMar>
            <w:top w:w="0" w:type="dxa"/>
            <w:left w:w="0" w:type="dxa"/>
            <w:bottom w:w="0" w:type="dxa"/>
            <w:right w:w="0" w:type="dxa"/>
          </w:tblCellMar>
        </w:tblPrEx>
        <w:trPr>
          <w:trHeight w:val="675" w:hRule="atLeast"/>
        </w:trPr>
        <w:tc>
          <w:tcPr>
            <w:tcW w:w="13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中介机构意见</w:t>
            </w:r>
          </w:p>
        </w:tc>
        <w:tc>
          <w:tcPr>
            <w:tcW w:w="108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rPr>
                <w:rFonts w:ascii="仿宋_GB2312" w:hAnsi="宋体" w:eastAsia="仿宋_GB2312" w:cs="仿宋_GB2312"/>
                <w:color w:val="000000"/>
                <w:sz w:val="20"/>
                <w:szCs w:val="20"/>
              </w:rPr>
            </w:pPr>
          </w:p>
        </w:tc>
        <w:tc>
          <w:tcPr>
            <w:tcW w:w="1075" w:type="dxa"/>
            <w:tcBorders>
              <w:top w:val="single" w:color="000000" w:sz="4" w:space="0"/>
              <w:left w:val="nil"/>
              <w:bottom w:val="nil"/>
              <w:right w:val="nil"/>
            </w:tcBorders>
            <w:shd w:val="clear" w:color="auto" w:fill="FFFFFF"/>
            <w:noWrap/>
            <w:tcMar>
              <w:top w:w="15" w:type="dxa"/>
              <w:left w:w="15" w:type="dxa"/>
              <w:right w:w="15" w:type="dxa"/>
            </w:tcMar>
            <w:vAlign w:val="center"/>
          </w:tcPr>
          <w:p>
            <w:pPr>
              <w:rPr>
                <w:rFonts w:ascii="仿宋_GB2312" w:hAnsi="宋体" w:eastAsia="仿宋_GB2312" w:cs="仿宋_GB2312"/>
                <w:color w:val="000000"/>
                <w:sz w:val="20"/>
                <w:szCs w:val="20"/>
              </w:rPr>
            </w:pPr>
          </w:p>
        </w:tc>
        <w:tc>
          <w:tcPr>
            <w:tcW w:w="1080" w:type="dxa"/>
            <w:tcBorders>
              <w:top w:val="single" w:color="000000" w:sz="4" w:space="0"/>
              <w:left w:val="nil"/>
              <w:bottom w:val="nil"/>
              <w:right w:val="nil"/>
            </w:tcBorders>
            <w:shd w:val="clear" w:color="auto" w:fill="FFFFFF"/>
            <w:noWrap/>
            <w:tcMar>
              <w:top w:w="15" w:type="dxa"/>
              <w:left w:w="15" w:type="dxa"/>
              <w:right w:w="15" w:type="dxa"/>
            </w:tcMar>
            <w:vAlign w:val="center"/>
          </w:tcPr>
          <w:p>
            <w:pPr>
              <w:rPr>
                <w:rFonts w:ascii="仿宋_GB2312" w:hAnsi="宋体" w:eastAsia="仿宋_GB2312" w:cs="仿宋_GB2312"/>
                <w:color w:val="000000"/>
                <w:sz w:val="20"/>
                <w:szCs w:val="20"/>
              </w:rPr>
            </w:pPr>
          </w:p>
        </w:tc>
        <w:tc>
          <w:tcPr>
            <w:tcW w:w="1080" w:type="dxa"/>
            <w:tcBorders>
              <w:top w:val="single" w:color="000000" w:sz="4" w:space="0"/>
              <w:left w:val="nil"/>
              <w:bottom w:val="nil"/>
              <w:right w:val="nil"/>
            </w:tcBorders>
            <w:shd w:val="clear" w:color="auto" w:fill="FFFFFF"/>
            <w:noWrap/>
            <w:tcMar>
              <w:top w:w="15" w:type="dxa"/>
              <w:left w:w="15" w:type="dxa"/>
              <w:right w:w="15" w:type="dxa"/>
            </w:tcMar>
            <w:vAlign w:val="center"/>
          </w:tcPr>
          <w:p>
            <w:pPr>
              <w:rPr>
                <w:rFonts w:ascii="仿宋_GB2312" w:hAnsi="宋体" w:eastAsia="仿宋_GB2312" w:cs="仿宋_GB2312"/>
                <w:color w:val="000000"/>
                <w:sz w:val="20"/>
                <w:szCs w:val="20"/>
              </w:rPr>
            </w:pPr>
          </w:p>
        </w:tc>
        <w:tc>
          <w:tcPr>
            <w:tcW w:w="1080" w:type="dxa"/>
            <w:tcBorders>
              <w:top w:val="single" w:color="000000" w:sz="4" w:space="0"/>
              <w:left w:val="nil"/>
              <w:bottom w:val="nil"/>
              <w:right w:val="nil"/>
            </w:tcBorders>
            <w:shd w:val="clear" w:color="auto" w:fill="FFFFFF"/>
            <w:noWrap/>
            <w:tcMar>
              <w:top w:w="15" w:type="dxa"/>
              <w:left w:w="15" w:type="dxa"/>
              <w:right w:w="15" w:type="dxa"/>
            </w:tcMar>
            <w:vAlign w:val="center"/>
          </w:tcPr>
          <w:p>
            <w:pPr>
              <w:rPr>
                <w:rFonts w:ascii="仿宋_GB2312" w:hAnsi="宋体" w:eastAsia="仿宋_GB2312" w:cs="仿宋_GB2312"/>
                <w:color w:val="000000"/>
                <w:sz w:val="20"/>
                <w:szCs w:val="20"/>
              </w:rPr>
            </w:pPr>
          </w:p>
        </w:tc>
        <w:tc>
          <w:tcPr>
            <w:tcW w:w="1080" w:type="dxa"/>
            <w:tcBorders>
              <w:top w:val="single" w:color="000000" w:sz="4" w:space="0"/>
              <w:left w:val="nil"/>
              <w:bottom w:val="nil"/>
              <w:right w:val="nil"/>
            </w:tcBorders>
            <w:shd w:val="clear" w:color="auto" w:fill="FFFFFF"/>
            <w:noWrap/>
            <w:tcMar>
              <w:top w:w="15" w:type="dxa"/>
              <w:left w:w="15" w:type="dxa"/>
              <w:right w:w="15" w:type="dxa"/>
            </w:tcMar>
            <w:vAlign w:val="center"/>
          </w:tcPr>
          <w:p>
            <w:pPr>
              <w:rPr>
                <w:rFonts w:ascii="仿宋_GB2312" w:hAnsi="宋体" w:eastAsia="仿宋_GB2312" w:cs="仿宋_GB2312"/>
                <w:color w:val="000000"/>
                <w:sz w:val="20"/>
                <w:szCs w:val="20"/>
              </w:rPr>
            </w:pPr>
          </w:p>
        </w:tc>
        <w:tc>
          <w:tcPr>
            <w:tcW w:w="1511" w:type="dxa"/>
            <w:tcBorders>
              <w:top w:val="single" w:color="000000" w:sz="4" w:space="0"/>
              <w:left w:val="nil"/>
              <w:bottom w:val="nil"/>
              <w:right w:val="single" w:color="000000" w:sz="4" w:space="0"/>
            </w:tcBorders>
            <w:shd w:val="clear" w:color="auto" w:fill="FFFFFF"/>
            <w:noWrap/>
            <w:tcMar>
              <w:top w:w="15" w:type="dxa"/>
              <w:left w:w="15" w:type="dxa"/>
              <w:right w:w="15" w:type="dxa"/>
            </w:tcMar>
            <w:vAlign w:val="center"/>
          </w:tcPr>
          <w:p>
            <w:pPr>
              <w:rPr>
                <w:rFonts w:ascii="仿宋_GB2312" w:hAnsi="宋体" w:eastAsia="仿宋_GB2312" w:cs="仿宋_GB2312"/>
                <w:color w:val="000000"/>
                <w:sz w:val="20"/>
                <w:szCs w:val="20"/>
              </w:rPr>
            </w:pPr>
          </w:p>
        </w:tc>
      </w:tr>
      <w:tr>
        <w:tblPrEx>
          <w:tblCellMar>
            <w:top w:w="0" w:type="dxa"/>
            <w:left w:w="0" w:type="dxa"/>
            <w:bottom w:w="0" w:type="dxa"/>
            <w:right w:w="0" w:type="dxa"/>
          </w:tblCellMar>
        </w:tblPrEx>
        <w:trPr>
          <w:trHeight w:val="675"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5395" w:type="dxa"/>
            <w:gridSpan w:val="5"/>
            <w:tcBorders>
              <w:top w:val="nil"/>
              <w:left w:val="single" w:color="000000" w:sz="4" w:space="0"/>
              <w:bottom w:val="nil"/>
              <w:right w:val="nil"/>
            </w:tcBorders>
            <w:shd w:val="clear" w:color="auto" w:fill="FFFFFF"/>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未聘请中介机构填：  无</w:t>
            </w:r>
          </w:p>
        </w:tc>
        <w:tc>
          <w:tcPr>
            <w:tcW w:w="2591" w:type="dxa"/>
            <w:gridSpan w:val="2"/>
            <w:tcBorders>
              <w:top w:val="nil"/>
              <w:left w:val="nil"/>
              <w:bottom w:val="nil"/>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（公章）</w:t>
            </w:r>
          </w:p>
        </w:tc>
      </w:tr>
      <w:tr>
        <w:tblPrEx>
          <w:tblCellMar>
            <w:top w:w="0" w:type="dxa"/>
            <w:left w:w="0" w:type="dxa"/>
            <w:bottom w:w="0" w:type="dxa"/>
            <w:right w:w="0" w:type="dxa"/>
          </w:tblCellMar>
        </w:tblPrEx>
        <w:trPr>
          <w:trHeight w:val="675"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7986" w:type="dxa"/>
            <w:gridSpan w:val="7"/>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widowControl/>
              <w:jc w:val="center"/>
              <w:textAlignment w:val="bottom"/>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负责人（签字）                                      年   月   日</w:t>
            </w:r>
          </w:p>
        </w:tc>
      </w:tr>
      <w:tr>
        <w:tblPrEx>
          <w:tblCellMar>
            <w:top w:w="0" w:type="dxa"/>
            <w:left w:w="0" w:type="dxa"/>
            <w:bottom w:w="0" w:type="dxa"/>
            <w:right w:w="0" w:type="dxa"/>
          </w:tblCellMar>
        </w:tblPrEx>
        <w:trPr>
          <w:trHeight w:val="750" w:hRule="atLeast"/>
        </w:trPr>
        <w:tc>
          <w:tcPr>
            <w:tcW w:w="13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主管部门审核意见</w:t>
            </w:r>
          </w:p>
        </w:tc>
        <w:tc>
          <w:tcPr>
            <w:tcW w:w="1080" w:type="dxa"/>
            <w:tcBorders>
              <w:top w:val="nil"/>
              <w:left w:val="single" w:color="000000" w:sz="4" w:space="0"/>
              <w:bottom w:val="nil"/>
              <w:right w:val="nil"/>
            </w:tcBorders>
            <w:shd w:val="clear" w:color="auto" w:fill="FFFFFF"/>
            <w:tcMar>
              <w:top w:w="15" w:type="dxa"/>
              <w:left w:w="15" w:type="dxa"/>
              <w:right w:w="15" w:type="dxa"/>
            </w:tcMar>
            <w:vAlign w:val="bottom"/>
          </w:tcPr>
          <w:p>
            <w:pPr>
              <w:rPr>
                <w:rFonts w:ascii="仿宋_GB2312" w:hAnsi="宋体" w:eastAsia="仿宋_GB2312" w:cs="仿宋_GB2312"/>
                <w:color w:val="000000"/>
                <w:sz w:val="20"/>
                <w:szCs w:val="20"/>
              </w:rPr>
            </w:pPr>
          </w:p>
        </w:tc>
        <w:tc>
          <w:tcPr>
            <w:tcW w:w="1075" w:type="dxa"/>
            <w:tcBorders>
              <w:top w:val="nil"/>
              <w:left w:val="nil"/>
              <w:bottom w:val="nil"/>
              <w:right w:val="nil"/>
            </w:tcBorders>
            <w:shd w:val="clear" w:color="auto" w:fill="FFFFFF"/>
            <w:tcMar>
              <w:top w:w="15" w:type="dxa"/>
              <w:left w:w="15" w:type="dxa"/>
              <w:right w:w="15" w:type="dxa"/>
            </w:tcMar>
            <w:vAlign w:val="bottom"/>
          </w:tcPr>
          <w:p>
            <w:pPr>
              <w:rPr>
                <w:rFonts w:ascii="仿宋_GB2312" w:hAnsi="宋体" w:eastAsia="仿宋_GB2312" w:cs="仿宋_GB2312"/>
                <w:color w:val="000000"/>
                <w:sz w:val="20"/>
                <w:szCs w:val="20"/>
              </w:rPr>
            </w:pPr>
          </w:p>
        </w:tc>
        <w:tc>
          <w:tcPr>
            <w:tcW w:w="1080" w:type="dxa"/>
            <w:tcBorders>
              <w:top w:val="nil"/>
              <w:left w:val="nil"/>
              <w:bottom w:val="nil"/>
              <w:right w:val="nil"/>
            </w:tcBorders>
            <w:shd w:val="clear" w:color="auto" w:fill="FFFFFF"/>
            <w:tcMar>
              <w:top w:w="15" w:type="dxa"/>
              <w:left w:w="15" w:type="dxa"/>
              <w:right w:w="15" w:type="dxa"/>
            </w:tcMar>
            <w:vAlign w:val="bottom"/>
          </w:tcPr>
          <w:p>
            <w:pPr>
              <w:rPr>
                <w:rFonts w:ascii="仿宋_GB2312" w:hAnsi="宋体" w:eastAsia="仿宋_GB2312" w:cs="仿宋_GB2312"/>
                <w:color w:val="000000"/>
                <w:sz w:val="20"/>
                <w:szCs w:val="20"/>
              </w:rPr>
            </w:pPr>
          </w:p>
        </w:tc>
        <w:tc>
          <w:tcPr>
            <w:tcW w:w="1080" w:type="dxa"/>
            <w:tcBorders>
              <w:top w:val="nil"/>
              <w:left w:val="nil"/>
              <w:bottom w:val="nil"/>
              <w:right w:val="nil"/>
            </w:tcBorders>
            <w:shd w:val="clear" w:color="auto" w:fill="FFFFFF"/>
            <w:tcMar>
              <w:top w:w="15" w:type="dxa"/>
              <w:left w:w="15" w:type="dxa"/>
              <w:right w:w="15" w:type="dxa"/>
            </w:tcMar>
            <w:vAlign w:val="bottom"/>
          </w:tcPr>
          <w:p>
            <w:pPr>
              <w:rPr>
                <w:rFonts w:ascii="仿宋_GB2312" w:hAnsi="宋体" w:eastAsia="仿宋_GB2312" w:cs="仿宋_GB2312"/>
                <w:color w:val="000000"/>
                <w:sz w:val="20"/>
                <w:szCs w:val="20"/>
              </w:rPr>
            </w:pPr>
          </w:p>
        </w:tc>
        <w:tc>
          <w:tcPr>
            <w:tcW w:w="1080" w:type="dxa"/>
            <w:tcBorders>
              <w:top w:val="nil"/>
              <w:left w:val="nil"/>
              <w:bottom w:val="nil"/>
              <w:right w:val="nil"/>
            </w:tcBorders>
            <w:shd w:val="clear" w:color="auto" w:fill="FFFFFF"/>
            <w:tcMar>
              <w:top w:w="15" w:type="dxa"/>
              <w:left w:w="15" w:type="dxa"/>
              <w:right w:w="15" w:type="dxa"/>
            </w:tcMar>
            <w:vAlign w:val="bottom"/>
          </w:tcPr>
          <w:p>
            <w:pPr>
              <w:rPr>
                <w:rFonts w:ascii="仿宋_GB2312" w:hAnsi="宋体" w:eastAsia="仿宋_GB2312" w:cs="仿宋_GB2312"/>
                <w:color w:val="000000"/>
                <w:sz w:val="20"/>
                <w:szCs w:val="20"/>
              </w:rPr>
            </w:pPr>
          </w:p>
        </w:tc>
        <w:tc>
          <w:tcPr>
            <w:tcW w:w="1080" w:type="dxa"/>
            <w:tcBorders>
              <w:top w:val="nil"/>
              <w:left w:val="nil"/>
              <w:bottom w:val="nil"/>
              <w:right w:val="nil"/>
            </w:tcBorders>
            <w:shd w:val="clear" w:color="auto" w:fill="FFFFFF"/>
            <w:tcMar>
              <w:top w:w="15" w:type="dxa"/>
              <w:left w:w="15" w:type="dxa"/>
              <w:right w:w="15" w:type="dxa"/>
            </w:tcMar>
            <w:vAlign w:val="bottom"/>
          </w:tcPr>
          <w:p>
            <w:pPr>
              <w:rPr>
                <w:rFonts w:ascii="仿宋_GB2312" w:hAnsi="宋体" w:eastAsia="仿宋_GB2312" w:cs="仿宋_GB2312"/>
                <w:color w:val="000000"/>
                <w:sz w:val="20"/>
                <w:szCs w:val="20"/>
              </w:rPr>
            </w:pPr>
          </w:p>
        </w:tc>
        <w:tc>
          <w:tcPr>
            <w:tcW w:w="1511" w:type="dxa"/>
            <w:tcBorders>
              <w:top w:val="nil"/>
              <w:left w:val="nil"/>
              <w:bottom w:val="nil"/>
              <w:right w:val="single" w:color="000000" w:sz="4" w:space="0"/>
            </w:tcBorders>
            <w:shd w:val="clear" w:color="auto" w:fill="FFFFFF"/>
            <w:tcMar>
              <w:top w:w="15" w:type="dxa"/>
              <w:left w:w="15" w:type="dxa"/>
              <w:right w:w="15" w:type="dxa"/>
            </w:tcMar>
            <w:vAlign w:val="bottom"/>
          </w:tcPr>
          <w:p>
            <w:pPr>
              <w:rPr>
                <w:rFonts w:ascii="仿宋_GB2312" w:hAnsi="宋体" w:eastAsia="仿宋_GB2312" w:cs="仿宋_GB2312"/>
                <w:color w:val="000000"/>
                <w:sz w:val="20"/>
                <w:szCs w:val="20"/>
              </w:rPr>
            </w:pPr>
          </w:p>
        </w:tc>
      </w:tr>
      <w:tr>
        <w:tblPrEx>
          <w:tblCellMar>
            <w:top w:w="0" w:type="dxa"/>
            <w:left w:w="0" w:type="dxa"/>
            <w:bottom w:w="0" w:type="dxa"/>
            <w:right w:w="0" w:type="dxa"/>
          </w:tblCellMar>
        </w:tblPrEx>
        <w:trPr>
          <w:trHeight w:val="750"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1080" w:type="dxa"/>
            <w:tcBorders>
              <w:top w:val="nil"/>
              <w:left w:val="single" w:color="000000" w:sz="4" w:space="0"/>
              <w:bottom w:val="nil"/>
              <w:right w:val="nil"/>
            </w:tcBorders>
            <w:shd w:val="clear" w:color="auto" w:fill="FFFFFF"/>
            <w:tcMar>
              <w:top w:w="15" w:type="dxa"/>
              <w:left w:w="15" w:type="dxa"/>
              <w:right w:w="15" w:type="dxa"/>
            </w:tcMar>
            <w:vAlign w:val="bottom"/>
          </w:tcPr>
          <w:p>
            <w:pPr>
              <w:rPr>
                <w:rFonts w:ascii="仿宋_GB2312" w:hAnsi="宋体" w:eastAsia="仿宋_GB2312" w:cs="仿宋_GB2312"/>
                <w:color w:val="000000"/>
                <w:sz w:val="20"/>
                <w:szCs w:val="20"/>
              </w:rPr>
            </w:pPr>
          </w:p>
        </w:tc>
        <w:tc>
          <w:tcPr>
            <w:tcW w:w="1075" w:type="dxa"/>
            <w:tcBorders>
              <w:top w:val="nil"/>
              <w:left w:val="nil"/>
              <w:bottom w:val="nil"/>
              <w:right w:val="nil"/>
            </w:tcBorders>
            <w:shd w:val="clear" w:color="auto" w:fill="FFFFFF"/>
            <w:tcMar>
              <w:top w:w="15" w:type="dxa"/>
              <w:left w:w="15" w:type="dxa"/>
              <w:right w:w="15" w:type="dxa"/>
            </w:tcMar>
            <w:vAlign w:val="bottom"/>
          </w:tcPr>
          <w:p>
            <w:pPr>
              <w:rPr>
                <w:rFonts w:ascii="仿宋_GB2312" w:hAnsi="宋体" w:eastAsia="仿宋_GB2312" w:cs="仿宋_GB2312"/>
                <w:color w:val="000000"/>
                <w:sz w:val="20"/>
                <w:szCs w:val="20"/>
              </w:rPr>
            </w:pPr>
          </w:p>
        </w:tc>
        <w:tc>
          <w:tcPr>
            <w:tcW w:w="1080" w:type="dxa"/>
            <w:tcBorders>
              <w:top w:val="nil"/>
              <w:left w:val="nil"/>
              <w:bottom w:val="nil"/>
              <w:right w:val="nil"/>
            </w:tcBorders>
            <w:shd w:val="clear" w:color="auto" w:fill="FFFFFF"/>
            <w:tcMar>
              <w:top w:w="15" w:type="dxa"/>
              <w:left w:w="15" w:type="dxa"/>
              <w:right w:w="15" w:type="dxa"/>
            </w:tcMar>
            <w:vAlign w:val="bottom"/>
          </w:tcPr>
          <w:p>
            <w:pPr>
              <w:rPr>
                <w:rFonts w:ascii="仿宋_GB2312" w:hAnsi="宋体" w:eastAsia="仿宋_GB2312" w:cs="仿宋_GB2312"/>
                <w:color w:val="000000"/>
                <w:sz w:val="20"/>
                <w:szCs w:val="20"/>
              </w:rPr>
            </w:pPr>
          </w:p>
        </w:tc>
        <w:tc>
          <w:tcPr>
            <w:tcW w:w="1080" w:type="dxa"/>
            <w:tcBorders>
              <w:top w:val="nil"/>
              <w:left w:val="nil"/>
              <w:bottom w:val="nil"/>
              <w:right w:val="nil"/>
            </w:tcBorders>
            <w:shd w:val="clear" w:color="auto" w:fill="FFFFFF"/>
            <w:tcMar>
              <w:top w:w="15" w:type="dxa"/>
              <w:left w:w="15" w:type="dxa"/>
              <w:right w:w="15" w:type="dxa"/>
            </w:tcMar>
            <w:vAlign w:val="bottom"/>
          </w:tcPr>
          <w:p>
            <w:pPr>
              <w:rPr>
                <w:rFonts w:ascii="仿宋_GB2312" w:hAnsi="宋体" w:eastAsia="仿宋_GB2312" w:cs="仿宋_GB2312"/>
                <w:color w:val="000000"/>
                <w:sz w:val="20"/>
                <w:szCs w:val="20"/>
              </w:rPr>
            </w:pPr>
          </w:p>
        </w:tc>
        <w:tc>
          <w:tcPr>
            <w:tcW w:w="1080" w:type="dxa"/>
            <w:tcBorders>
              <w:top w:val="nil"/>
              <w:left w:val="nil"/>
              <w:bottom w:val="nil"/>
              <w:right w:val="nil"/>
            </w:tcBorders>
            <w:shd w:val="clear" w:color="auto" w:fill="FFFFFF"/>
            <w:tcMar>
              <w:top w:w="15" w:type="dxa"/>
              <w:left w:w="15" w:type="dxa"/>
              <w:right w:w="15" w:type="dxa"/>
            </w:tcMar>
            <w:vAlign w:val="bottom"/>
          </w:tcPr>
          <w:p>
            <w:pPr>
              <w:rPr>
                <w:rFonts w:ascii="仿宋_GB2312" w:hAnsi="宋体" w:eastAsia="仿宋_GB2312" w:cs="仿宋_GB2312"/>
                <w:color w:val="000000"/>
                <w:sz w:val="20"/>
                <w:szCs w:val="20"/>
              </w:rPr>
            </w:pPr>
          </w:p>
        </w:tc>
        <w:tc>
          <w:tcPr>
            <w:tcW w:w="2591" w:type="dxa"/>
            <w:gridSpan w:val="2"/>
            <w:tcBorders>
              <w:top w:val="nil"/>
              <w:left w:val="nil"/>
              <w:bottom w:val="nil"/>
              <w:right w:val="single" w:color="000000" w:sz="4" w:space="0"/>
            </w:tcBorders>
            <w:shd w:val="clear" w:color="auto" w:fill="FFFFFF"/>
            <w:tcMar>
              <w:top w:w="15" w:type="dxa"/>
              <w:left w:w="15" w:type="dxa"/>
              <w:right w:w="15" w:type="dxa"/>
            </w:tcMar>
            <w:vAlign w:val="bottom"/>
          </w:tcPr>
          <w:p>
            <w:pPr>
              <w:widowControl/>
              <w:jc w:val="center"/>
              <w:textAlignment w:val="bottom"/>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（公章）</w:t>
            </w:r>
          </w:p>
        </w:tc>
      </w:tr>
      <w:tr>
        <w:tblPrEx>
          <w:tblCellMar>
            <w:top w:w="0" w:type="dxa"/>
            <w:left w:w="0" w:type="dxa"/>
            <w:bottom w:w="0" w:type="dxa"/>
            <w:right w:w="0" w:type="dxa"/>
          </w:tblCellMar>
        </w:tblPrEx>
        <w:trPr>
          <w:trHeight w:val="750"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7986" w:type="dxa"/>
            <w:gridSpan w:val="7"/>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widowControl/>
              <w:jc w:val="center"/>
              <w:textAlignment w:val="bottom"/>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负责人（签字）                                       年   月   日</w:t>
            </w:r>
          </w:p>
        </w:tc>
      </w:tr>
    </w:tbl>
    <w:p>
      <w:pPr>
        <w:spacing w:line="560" w:lineRule="atLeast"/>
        <w:jc w:val="left"/>
        <w:rPr>
          <w:rFonts w:ascii="黑体" w:hAnsi="黑体" w:eastAsia="黑体" w:cs="黑体"/>
          <w:sz w:val="32"/>
          <w:szCs w:val="32"/>
        </w:rPr>
      </w:pPr>
      <w:bookmarkStart w:id="30" w:name="_Toc26399_WPSOffice_Level1"/>
      <w:r>
        <w:rPr>
          <w:rFonts w:hint="eastAsia" w:ascii="黑体" w:hAnsi="黑体" w:eastAsia="黑体" w:cs="黑体"/>
          <w:sz w:val="32"/>
          <w:szCs w:val="32"/>
        </w:rPr>
        <w:t>五、工作活动(项目)绩效自评报告（文字部分）</w:t>
      </w:r>
      <w:bookmarkEnd w:id="30"/>
    </w:p>
    <w:p>
      <w:pPr>
        <w:spacing w:line="560" w:lineRule="atLeast"/>
        <w:ind w:firstLine="960" w:firstLineChars="300"/>
        <w:jc w:val="left"/>
        <w:rPr>
          <w:rFonts w:ascii="黑体" w:hAnsi="黑体" w:eastAsia="黑体"/>
          <w:sz w:val="32"/>
        </w:rPr>
      </w:pPr>
      <w:bookmarkStart w:id="31" w:name="_Toc23853_WPSOffice_Level1"/>
      <w:r>
        <w:rPr>
          <w:rFonts w:hint="eastAsia" w:ascii="黑体" w:hAnsi="黑体" w:eastAsia="黑体"/>
          <w:sz w:val="32"/>
        </w:rPr>
        <w:t>一、项目概况</w:t>
      </w:r>
      <w:bookmarkEnd w:id="31"/>
    </w:p>
    <w:p>
      <w:pPr>
        <w:spacing w:line="560" w:lineRule="atLeast"/>
        <w:ind w:firstLine="640" w:firstLineChars="200"/>
        <w:jc w:val="left"/>
        <w:rPr>
          <w:rFonts w:ascii="楷体_GB2312" w:hAnsi="黑体" w:eastAsia="楷体_GB2312"/>
          <w:sz w:val="32"/>
        </w:rPr>
      </w:pPr>
      <w:bookmarkStart w:id="32" w:name="_Toc28606_WPSOffice_Level2"/>
      <w:r>
        <w:rPr>
          <w:rFonts w:hint="eastAsia" w:ascii="楷体_GB2312" w:hAnsi="黑体" w:eastAsia="楷体_GB2312"/>
          <w:sz w:val="32"/>
        </w:rPr>
        <w:t>（一）政府战略目标</w:t>
      </w:r>
      <w:bookmarkEnd w:id="32"/>
    </w:p>
    <w:p>
      <w:pPr>
        <w:spacing w:line="560" w:lineRule="atLeast"/>
        <w:jc w:val="left"/>
        <w:rPr>
          <w:rFonts w:ascii="仿宋_GB2312" w:hAnsi="宋体" w:eastAsia="仿宋_GB2312" w:cs="宋体"/>
          <w:sz w:val="32"/>
        </w:rPr>
      </w:pPr>
      <w:r>
        <w:rPr>
          <w:rFonts w:hint="eastAsia" w:ascii="仿宋_GB2312" w:hAnsi="黑体" w:eastAsia="仿宋_GB2312"/>
          <w:sz w:val="32"/>
        </w:rPr>
        <w:t xml:space="preserve"> </w:t>
      </w:r>
      <w:r>
        <w:rPr>
          <w:rFonts w:hint="eastAsia" w:ascii="仿宋_GB2312" w:hAnsi="黑体" w:eastAsia="仿宋_GB2312"/>
          <w:sz w:val="32"/>
          <w:lang w:val="en-US" w:eastAsia="zh-CN"/>
        </w:rPr>
        <w:t xml:space="preserve"> </w:t>
      </w:r>
      <w:r>
        <w:rPr>
          <w:rFonts w:hint="eastAsia" w:ascii="仿宋_GB2312" w:hAnsi="黑体" w:eastAsia="仿宋_GB2312"/>
          <w:sz w:val="32"/>
        </w:rPr>
        <w:t xml:space="preserve">  根据《河北省人民政府办公厅关于进一步加强气象工作的通知》(冀政办</w:t>
      </w:r>
      <w:r>
        <w:rPr>
          <w:rFonts w:hint="eastAsia" w:ascii="仿宋_GB2312" w:hAnsi="宋体" w:eastAsia="仿宋_GB2312" w:cs="宋体"/>
          <w:sz w:val="32"/>
        </w:rPr>
        <w:t>〔2005〕5号)的文件精神，为更好促进邢台市气象事业快速、健康发展，更好地发挥气象部门在经济社会发展中的作用，需依法发展地方气象事业，要将尚未把地方气象事业列入当地财政预算户头的县（市），尽快纳入当地财政预算，包括发展地方气象事业所需的人员经费、当地出台的各项补贴、津贴等福利待遇，进一步促进气象发展积极性，最大限度地减轻自然灾害造成的损失。</w:t>
      </w:r>
    </w:p>
    <w:p>
      <w:pPr>
        <w:spacing w:line="560" w:lineRule="atLeast"/>
        <w:ind w:firstLine="640" w:firstLineChars="200"/>
        <w:jc w:val="left"/>
        <w:rPr>
          <w:rFonts w:ascii="楷体_GB2312" w:hAnsi="宋体" w:eastAsia="楷体_GB2312" w:cs="宋体"/>
          <w:sz w:val="32"/>
        </w:rPr>
      </w:pPr>
      <w:bookmarkStart w:id="33" w:name="_Toc17548_WPSOffice_Level2"/>
      <w:r>
        <w:rPr>
          <w:rFonts w:hint="eastAsia" w:ascii="楷体_GB2312" w:hAnsi="宋体" w:eastAsia="楷体_GB2312" w:cs="宋体"/>
          <w:sz w:val="32"/>
        </w:rPr>
        <w:t>（二）单位工作目标</w:t>
      </w:r>
      <w:bookmarkEnd w:id="33"/>
    </w:p>
    <w:p>
      <w:pPr>
        <w:spacing w:line="560" w:lineRule="atLeast"/>
        <w:ind w:firstLine="640" w:firstLineChars="200"/>
        <w:jc w:val="left"/>
        <w:rPr>
          <w:rFonts w:ascii="仿宋_GB2312" w:hAnsi="宋体" w:eastAsia="仿宋_GB2312" w:cs="宋体"/>
          <w:sz w:val="32"/>
        </w:rPr>
      </w:pPr>
      <w:r>
        <w:rPr>
          <w:rFonts w:hint="eastAsia" w:ascii="仿宋_GB2312" w:hAnsi="黑体" w:eastAsia="仿宋_GB2312"/>
          <w:sz w:val="32"/>
        </w:rPr>
        <w:t>根据《河北省人民政府办公厅关于进一步加强气象工作的通知》(冀政办</w:t>
      </w:r>
      <w:r>
        <w:rPr>
          <w:rFonts w:hint="eastAsia" w:ascii="仿宋_GB2312" w:hAnsi="宋体" w:eastAsia="仿宋_GB2312" w:cs="宋体"/>
          <w:sz w:val="32"/>
        </w:rPr>
        <w:t>〔2005〕5号)的文件要求，邢台市财政局对于职工津补贴等相关规定要求，严格按照规定发放职工绩效工资、津补贴等，做到及时、足额发放，提高职工工作积极性，提高预报预测准确率，积极防御气象灾害，确保社会经济稳定发展。</w:t>
      </w:r>
    </w:p>
    <w:p>
      <w:pPr>
        <w:spacing w:line="560" w:lineRule="atLeast"/>
        <w:ind w:firstLine="640" w:firstLineChars="200"/>
        <w:jc w:val="left"/>
        <w:rPr>
          <w:rFonts w:ascii="楷体_GB2312" w:hAnsi="宋体" w:eastAsia="楷体_GB2312" w:cs="宋体"/>
          <w:sz w:val="32"/>
        </w:rPr>
      </w:pPr>
      <w:bookmarkStart w:id="34" w:name="_Toc8339_WPSOffice_Level2"/>
      <w:r>
        <w:rPr>
          <w:rFonts w:hint="eastAsia" w:ascii="楷体_GB2312" w:hAnsi="宋体" w:eastAsia="楷体_GB2312" w:cs="宋体"/>
          <w:sz w:val="32"/>
        </w:rPr>
        <w:t>（三）项目基本情况</w:t>
      </w:r>
      <w:bookmarkEnd w:id="34"/>
    </w:p>
    <w:p>
      <w:pPr>
        <w:spacing w:line="560" w:lineRule="atLeast"/>
        <w:jc w:val="left"/>
        <w:rPr>
          <w:rFonts w:ascii="仿宋_GB2312" w:hAnsi="宋体" w:eastAsia="仿宋_GB2312" w:cs="宋体"/>
          <w:sz w:val="32"/>
        </w:rPr>
      </w:pPr>
      <w:r>
        <w:rPr>
          <w:rFonts w:hint="eastAsia" w:ascii="仿宋_GB2312" w:hAnsi="宋体" w:eastAsia="仿宋_GB2312" w:cs="宋体"/>
          <w:sz w:val="32"/>
        </w:rPr>
        <w:t xml:space="preserve">    差补费项目实施依据为</w:t>
      </w:r>
      <w:r>
        <w:rPr>
          <w:rFonts w:hint="eastAsia" w:ascii="仿宋_GB2312" w:hAnsi="黑体" w:eastAsia="仿宋_GB2312"/>
          <w:sz w:val="32"/>
        </w:rPr>
        <w:t>《河北省人民政府办公厅关于进一步加强气象工作的通知》(冀政办</w:t>
      </w:r>
      <w:r>
        <w:rPr>
          <w:rFonts w:hint="eastAsia" w:ascii="仿宋_GB2312" w:hAnsi="宋体" w:eastAsia="仿宋_GB2312" w:cs="宋体"/>
          <w:sz w:val="32"/>
        </w:rPr>
        <w:t>〔2005〕5号)文件， 2020年安排资金为2</w:t>
      </w:r>
      <w:r>
        <w:rPr>
          <w:rFonts w:hint="eastAsia" w:ascii="仿宋_GB2312" w:hAnsi="宋体" w:eastAsia="仿宋_GB2312" w:cs="宋体"/>
          <w:sz w:val="32"/>
          <w:lang w:val="en-US" w:eastAsia="zh-CN"/>
        </w:rPr>
        <w:t>76</w:t>
      </w:r>
      <w:r>
        <w:rPr>
          <w:rFonts w:hint="eastAsia" w:ascii="仿宋_GB2312" w:hAnsi="宋体" w:eastAsia="仿宋_GB2312" w:cs="宋体"/>
          <w:sz w:val="32"/>
        </w:rPr>
        <w:t>万元。主要用于对当年职工的绩效工资、津补贴等及时、足额发放。主要解决职工绩效工资需求，生活补贴、工作补贴等需求，有利于稳定社会发展，提高职工工作积极性，更好的促进气象事业又快、又好地发展。</w:t>
      </w:r>
    </w:p>
    <w:p>
      <w:pPr>
        <w:spacing w:line="560" w:lineRule="atLeast"/>
        <w:ind w:firstLine="640" w:firstLineChars="200"/>
        <w:jc w:val="left"/>
        <w:rPr>
          <w:rFonts w:ascii="黑体" w:hAnsi="黑体" w:eastAsia="黑体" w:cs="宋体"/>
          <w:sz w:val="32"/>
        </w:rPr>
      </w:pPr>
      <w:bookmarkStart w:id="35" w:name="_Toc15704_WPSOffice_Level1"/>
      <w:r>
        <w:rPr>
          <w:rFonts w:hint="eastAsia" w:ascii="黑体" w:hAnsi="黑体" w:eastAsia="黑体" w:cs="宋体"/>
          <w:sz w:val="32"/>
        </w:rPr>
        <w:t>二、项目绩效目标和指标设定情况</w:t>
      </w:r>
      <w:bookmarkEnd w:id="35"/>
    </w:p>
    <w:p>
      <w:pPr>
        <w:spacing w:line="560" w:lineRule="atLeast"/>
        <w:ind w:firstLine="640" w:firstLineChars="200"/>
        <w:jc w:val="left"/>
        <w:rPr>
          <w:rFonts w:ascii="楷体_GB2312" w:hAnsi="黑体" w:eastAsia="楷体_GB2312" w:cs="宋体"/>
          <w:sz w:val="32"/>
        </w:rPr>
      </w:pPr>
      <w:bookmarkStart w:id="36" w:name="_Toc21486_WPSOffice_Level2"/>
      <w:r>
        <w:rPr>
          <w:rFonts w:hint="eastAsia" w:ascii="楷体_GB2312" w:hAnsi="黑体" w:eastAsia="楷体_GB2312" w:cs="宋体"/>
          <w:sz w:val="32"/>
        </w:rPr>
        <w:t>（一）项目总目标、年度目标设定情况</w:t>
      </w:r>
      <w:bookmarkEnd w:id="36"/>
    </w:p>
    <w:p>
      <w:pPr>
        <w:spacing w:line="560" w:lineRule="atLeast"/>
        <w:jc w:val="left"/>
        <w:rPr>
          <w:rFonts w:ascii="仿宋_GB2312" w:hAnsi="黑体" w:eastAsia="仿宋_GB2312" w:cs="宋体"/>
          <w:sz w:val="32"/>
        </w:rPr>
      </w:pPr>
      <w:r>
        <w:rPr>
          <w:rFonts w:hint="eastAsia" w:ascii="仿宋_GB2312" w:hAnsi="黑体" w:eastAsia="仿宋_GB2312" w:cs="宋体"/>
          <w:sz w:val="32"/>
        </w:rPr>
        <w:t xml:space="preserve">    差补费项目总目标为，保证职工绩效工资按时足额发放，促进职工工作积极性，提高气象工作发展质量。年度目标为，完成202</w:t>
      </w:r>
      <w:r>
        <w:rPr>
          <w:rFonts w:hint="eastAsia" w:ascii="仿宋_GB2312" w:hAnsi="黑体" w:eastAsia="仿宋_GB2312" w:cs="宋体"/>
          <w:sz w:val="32"/>
          <w:lang w:val="en-US" w:eastAsia="zh-CN"/>
        </w:rPr>
        <w:t>1</w:t>
      </w:r>
      <w:r>
        <w:rPr>
          <w:rFonts w:hint="eastAsia" w:ascii="仿宋_GB2312" w:hAnsi="黑体" w:eastAsia="仿宋_GB2312" w:cs="宋体"/>
          <w:sz w:val="32"/>
        </w:rPr>
        <w:t>年度职工绩效工资、津补贴及时足额发放。</w:t>
      </w:r>
    </w:p>
    <w:p>
      <w:pPr>
        <w:spacing w:line="560" w:lineRule="atLeast"/>
        <w:ind w:firstLine="640" w:firstLineChars="200"/>
        <w:jc w:val="left"/>
        <w:rPr>
          <w:rFonts w:ascii="楷体_GB2312" w:hAnsi="黑体" w:eastAsia="楷体_GB2312"/>
          <w:sz w:val="32"/>
        </w:rPr>
      </w:pPr>
      <w:bookmarkStart w:id="37" w:name="_Toc2861_WPSOffice_Level2"/>
      <w:r>
        <w:rPr>
          <w:rFonts w:hint="eastAsia" w:ascii="楷体_GB2312" w:hAnsi="黑体" w:eastAsia="楷体_GB2312"/>
          <w:sz w:val="32"/>
        </w:rPr>
        <w:t>（二）项目绩效指标设定情况</w:t>
      </w:r>
      <w:bookmarkEnd w:id="37"/>
    </w:p>
    <w:p>
      <w:pPr>
        <w:spacing w:line="560" w:lineRule="atLeast"/>
        <w:jc w:val="left"/>
        <w:rPr>
          <w:rFonts w:ascii="仿宋_GB2312" w:hAnsi="黑体" w:eastAsia="仿宋_GB2312"/>
          <w:sz w:val="32"/>
        </w:rPr>
      </w:pPr>
      <w:r>
        <w:rPr>
          <w:rFonts w:hint="eastAsia" w:ascii="仿宋_GB2312" w:hAnsi="黑体" w:eastAsia="仿宋_GB2312"/>
          <w:sz w:val="32"/>
        </w:rPr>
        <w:t xml:space="preserve"> </w:t>
      </w:r>
      <w:r>
        <w:rPr>
          <w:rFonts w:hint="eastAsia" w:ascii="仿宋_GB2312" w:hAnsi="黑体" w:eastAsia="仿宋_GB2312"/>
          <w:sz w:val="32"/>
          <w:lang w:val="en-US" w:eastAsia="zh-CN"/>
        </w:rPr>
        <w:t xml:space="preserve">   </w:t>
      </w:r>
      <w:r>
        <w:rPr>
          <w:rFonts w:hint="eastAsia" w:ascii="仿宋_GB2312" w:hAnsi="黑体" w:eastAsia="仿宋_GB2312"/>
          <w:b/>
          <w:bCs/>
          <w:sz w:val="32"/>
        </w:rPr>
        <w:t>产出指标：</w:t>
      </w:r>
    </w:p>
    <w:p>
      <w:pPr>
        <w:spacing w:line="560" w:lineRule="atLeast"/>
        <w:jc w:val="left"/>
        <w:rPr>
          <w:rFonts w:ascii="仿宋_GB2312" w:hAnsi="黑体" w:eastAsia="仿宋_GB2312"/>
          <w:sz w:val="32"/>
        </w:rPr>
      </w:pPr>
      <w:r>
        <w:rPr>
          <w:rFonts w:hint="eastAsia" w:ascii="仿宋_GB2312" w:hAnsi="黑体" w:eastAsia="仿宋_GB2312"/>
          <w:sz w:val="32"/>
        </w:rPr>
        <w:t xml:space="preserve">    数量指标：完成202</w:t>
      </w:r>
      <w:r>
        <w:rPr>
          <w:rFonts w:hint="eastAsia" w:ascii="仿宋_GB2312" w:hAnsi="黑体" w:eastAsia="仿宋_GB2312"/>
          <w:sz w:val="32"/>
          <w:lang w:val="en-US" w:eastAsia="zh-CN"/>
        </w:rPr>
        <w:t>1</w:t>
      </w:r>
      <w:r>
        <w:rPr>
          <w:rFonts w:hint="eastAsia" w:ascii="仿宋_GB2312" w:hAnsi="黑体" w:eastAsia="仿宋_GB2312"/>
          <w:sz w:val="32"/>
        </w:rPr>
        <w:t>年津补贴、绩效工资发放人次1212人次；全年发放职工津补贴次数12次。</w:t>
      </w:r>
    </w:p>
    <w:p>
      <w:pPr>
        <w:spacing w:line="560" w:lineRule="atLeast"/>
        <w:jc w:val="left"/>
        <w:rPr>
          <w:rFonts w:ascii="仿宋_GB2312" w:hAnsi="黑体" w:eastAsia="仿宋_GB2312"/>
          <w:sz w:val="32"/>
        </w:rPr>
      </w:pPr>
      <w:r>
        <w:rPr>
          <w:rFonts w:hint="eastAsia" w:ascii="仿宋_GB2312" w:hAnsi="黑体" w:eastAsia="仿宋_GB2312"/>
          <w:sz w:val="32"/>
        </w:rPr>
        <w:t xml:space="preserve">    质量指标：完成202</w:t>
      </w:r>
      <w:r>
        <w:rPr>
          <w:rFonts w:hint="eastAsia" w:ascii="仿宋_GB2312" w:hAnsi="黑体" w:eastAsia="仿宋_GB2312"/>
          <w:sz w:val="32"/>
          <w:lang w:val="en-US" w:eastAsia="zh-CN"/>
        </w:rPr>
        <w:t>1</w:t>
      </w:r>
      <w:r>
        <w:rPr>
          <w:rFonts w:hint="eastAsia" w:ascii="仿宋_GB2312" w:hAnsi="黑体" w:eastAsia="仿宋_GB2312"/>
          <w:sz w:val="32"/>
        </w:rPr>
        <w:t>年度职工津补贴、绩效工资发放，发放覆盖率为100%，完成率100%。</w:t>
      </w:r>
    </w:p>
    <w:p>
      <w:pPr>
        <w:spacing w:line="560" w:lineRule="atLeast"/>
        <w:jc w:val="left"/>
        <w:rPr>
          <w:rFonts w:ascii="仿宋_GB2312" w:hAnsi="黑体" w:eastAsia="仿宋_GB2312"/>
          <w:sz w:val="32"/>
        </w:rPr>
      </w:pPr>
      <w:r>
        <w:rPr>
          <w:rFonts w:hint="eastAsia" w:ascii="仿宋_GB2312" w:hAnsi="黑体" w:eastAsia="仿宋_GB2312"/>
          <w:sz w:val="32"/>
        </w:rPr>
        <w:t xml:space="preserve">    成本指标：全年发放职工津补贴金额2</w:t>
      </w:r>
      <w:r>
        <w:rPr>
          <w:rFonts w:hint="eastAsia" w:ascii="仿宋_GB2312" w:hAnsi="黑体" w:eastAsia="仿宋_GB2312"/>
          <w:sz w:val="32"/>
          <w:lang w:val="en-US" w:eastAsia="zh-CN"/>
        </w:rPr>
        <w:t>76</w:t>
      </w:r>
      <w:r>
        <w:rPr>
          <w:rFonts w:hint="eastAsia" w:ascii="仿宋_GB2312" w:hAnsi="黑体" w:eastAsia="仿宋_GB2312"/>
          <w:sz w:val="32"/>
        </w:rPr>
        <w:t>万元。</w:t>
      </w:r>
    </w:p>
    <w:p>
      <w:pPr>
        <w:spacing w:line="560" w:lineRule="atLeast"/>
        <w:jc w:val="left"/>
        <w:rPr>
          <w:rFonts w:ascii="仿宋_GB2312" w:hAnsi="黑体" w:eastAsia="仿宋_GB2312"/>
          <w:sz w:val="32"/>
        </w:rPr>
      </w:pPr>
      <w:r>
        <w:rPr>
          <w:rFonts w:hint="eastAsia" w:ascii="仿宋_GB2312" w:hAnsi="黑体" w:eastAsia="仿宋_GB2312"/>
          <w:sz w:val="32"/>
        </w:rPr>
        <w:t xml:space="preserve">    时效指标：按时发放职工津补贴，及时率达100%。</w:t>
      </w:r>
    </w:p>
    <w:p>
      <w:pPr>
        <w:spacing w:line="560" w:lineRule="atLeast"/>
        <w:jc w:val="left"/>
        <w:rPr>
          <w:rFonts w:ascii="仿宋_GB2312" w:hAnsi="黑体" w:eastAsia="仿宋_GB2312"/>
          <w:sz w:val="32"/>
        </w:rPr>
      </w:pPr>
      <w:r>
        <w:rPr>
          <w:rFonts w:hint="eastAsia" w:ascii="仿宋_GB2312" w:hAnsi="黑体" w:eastAsia="仿宋_GB2312"/>
          <w:sz w:val="32"/>
        </w:rPr>
        <w:t xml:space="preserve">   </w:t>
      </w:r>
      <w:r>
        <w:rPr>
          <w:rFonts w:hint="eastAsia" w:ascii="仿宋_GB2312" w:hAnsi="黑体" w:eastAsia="仿宋_GB2312"/>
          <w:b/>
          <w:bCs/>
          <w:sz w:val="32"/>
        </w:rPr>
        <w:t xml:space="preserve"> 效果指标：</w:t>
      </w:r>
    </w:p>
    <w:p>
      <w:pPr>
        <w:spacing w:line="560" w:lineRule="atLeast"/>
        <w:jc w:val="left"/>
        <w:rPr>
          <w:rFonts w:ascii="仿宋_GB2312" w:hAnsi="黑体" w:eastAsia="仿宋_GB2312"/>
          <w:sz w:val="32"/>
        </w:rPr>
      </w:pPr>
      <w:r>
        <w:rPr>
          <w:rFonts w:hint="eastAsia" w:ascii="仿宋_GB2312" w:hAnsi="黑体" w:eastAsia="仿宋_GB2312"/>
          <w:sz w:val="32"/>
        </w:rPr>
        <w:t xml:space="preserve">    经济效益：提高职工工作积极性，提高预报预测准确率，积极防御气象灾害，确保社会经济稳定发展。</w:t>
      </w:r>
    </w:p>
    <w:p>
      <w:pPr>
        <w:spacing w:line="560" w:lineRule="atLeast"/>
        <w:jc w:val="left"/>
        <w:rPr>
          <w:rFonts w:ascii="仿宋_GB2312" w:hAnsi="黑体" w:eastAsia="仿宋_GB2312"/>
          <w:sz w:val="32"/>
        </w:rPr>
      </w:pPr>
      <w:r>
        <w:rPr>
          <w:rFonts w:hint="eastAsia" w:ascii="仿宋_GB2312" w:hAnsi="黑体" w:eastAsia="仿宋_GB2312"/>
          <w:sz w:val="32"/>
        </w:rPr>
        <w:t xml:space="preserve">    社会效益：实现了社会的基本稳定，按时发放在职职工津补贴，单位基本稳定，不存在上访隐患。</w:t>
      </w:r>
    </w:p>
    <w:p>
      <w:pPr>
        <w:spacing w:line="560" w:lineRule="atLeast"/>
        <w:jc w:val="left"/>
        <w:rPr>
          <w:rFonts w:ascii="仿宋_GB2312" w:hAnsi="黑体" w:eastAsia="仿宋_GB2312"/>
          <w:sz w:val="32"/>
        </w:rPr>
      </w:pPr>
      <w:r>
        <w:rPr>
          <w:rFonts w:hint="eastAsia" w:ascii="仿宋_GB2312" w:hAnsi="黑体" w:eastAsia="仿宋_GB2312"/>
          <w:sz w:val="32"/>
        </w:rPr>
        <w:t xml:space="preserve">    可持续发展效益指标：为在职职工提高工作效率，工作积极性，为做好气象预报、灾害防治等工作提供持续动力。</w:t>
      </w:r>
    </w:p>
    <w:p>
      <w:pPr>
        <w:spacing w:line="560" w:lineRule="atLeast"/>
        <w:ind w:firstLine="640" w:firstLineChars="200"/>
        <w:jc w:val="left"/>
        <w:rPr>
          <w:rFonts w:ascii="黑体" w:hAnsi="黑体" w:eastAsia="黑体"/>
          <w:sz w:val="32"/>
        </w:rPr>
      </w:pPr>
      <w:bookmarkStart w:id="38" w:name="_Toc28507_WPSOffice_Level1"/>
      <w:r>
        <w:rPr>
          <w:rFonts w:hint="eastAsia" w:ascii="黑体" w:hAnsi="黑体" w:eastAsia="黑体"/>
          <w:sz w:val="32"/>
        </w:rPr>
        <w:t>三、项目实施绩效管理情况及取得成绩</w:t>
      </w:r>
      <w:bookmarkEnd w:id="38"/>
    </w:p>
    <w:p>
      <w:pPr>
        <w:spacing w:line="560" w:lineRule="atLeast"/>
        <w:ind w:firstLine="640" w:firstLineChars="200"/>
        <w:jc w:val="left"/>
        <w:rPr>
          <w:rFonts w:ascii="楷体_GB2312" w:hAnsi="黑体" w:eastAsia="楷体_GB2312"/>
          <w:sz w:val="32"/>
        </w:rPr>
      </w:pPr>
      <w:bookmarkStart w:id="39" w:name="_Toc29761_WPSOffice_Level2"/>
      <w:r>
        <w:rPr>
          <w:rFonts w:hint="eastAsia" w:ascii="楷体_GB2312" w:hAnsi="黑体" w:eastAsia="楷体_GB2312"/>
          <w:sz w:val="32"/>
        </w:rPr>
        <w:t>（一）计划制定和落实情况</w:t>
      </w:r>
      <w:bookmarkEnd w:id="39"/>
    </w:p>
    <w:p>
      <w:pPr>
        <w:spacing w:line="560" w:lineRule="atLeast"/>
        <w:jc w:val="left"/>
        <w:rPr>
          <w:rFonts w:ascii="仿宋_GB2312" w:hAnsi="黑体" w:eastAsia="仿宋_GB2312"/>
          <w:sz w:val="32"/>
        </w:rPr>
      </w:pPr>
      <w:r>
        <w:rPr>
          <w:rFonts w:hint="eastAsia" w:ascii="仿宋_GB2312" w:hAnsi="黑体" w:eastAsia="仿宋_GB2312"/>
          <w:sz w:val="32"/>
        </w:rPr>
        <w:t xml:space="preserve">    按照要求，提交报送202</w:t>
      </w:r>
      <w:r>
        <w:rPr>
          <w:rFonts w:hint="eastAsia" w:ascii="仿宋_GB2312" w:hAnsi="黑体" w:eastAsia="仿宋_GB2312"/>
          <w:sz w:val="32"/>
          <w:lang w:val="en-US" w:eastAsia="zh-CN"/>
        </w:rPr>
        <w:t>1</w:t>
      </w:r>
      <w:r>
        <w:rPr>
          <w:rFonts w:hint="eastAsia" w:ascii="仿宋_GB2312" w:hAnsi="黑体" w:eastAsia="仿宋_GB2312"/>
          <w:sz w:val="32"/>
        </w:rPr>
        <w:t>年市级预算项目库。按照市财政局要求每月向在职职工按时发放绩效工资、工作补贴、生活补贴等。</w:t>
      </w:r>
    </w:p>
    <w:p>
      <w:pPr>
        <w:spacing w:line="560" w:lineRule="atLeast"/>
        <w:ind w:firstLine="640" w:firstLineChars="200"/>
        <w:jc w:val="left"/>
        <w:rPr>
          <w:rFonts w:ascii="楷体_GB2312" w:hAnsi="黑体" w:eastAsia="楷体_GB2312"/>
          <w:sz w:val="32"/>
        </w:rPr>
      </w:pPr>
      <w:bookmarkStart w:id="40" w:name="_Toc9130_WPSOffice_Level2"/>
      <w:r>
        <w:rPr>
          <w:rFonts w:hint="eastAsia" w:ascii="楷体_GB2312" w:hAnsi="黑体" w:eastAsia="楷体_GB2312"/>
          <w:sz w:val="32"/>
        </w:rPr>
        <w:t>（二）执行绩效监控情况</w:t>
      </w:r>
      <w:bookmarkEnd w:id="40"/>
    </w:p>
    <w:p>
      <w:pPr>
        <w:spacing w:line="560" w:lineRule="atLeast"/>
        <w:jc w:val="left"/>
        <w:rPr>
          <w:rFonts w:ascii="仿宋_GB2312" w:hAnsi="黑体" w:eastAsia="仿宋_GB2312"/>
          <w:sz w:val="32"/>
        </w:rPr>
      </w:pPr>
      <w:r>
        <w:rPr>
          <w:rFonts w:hint="eastAsia" w:ascii="仿宋_GB2312" w:hAnsi="黑体" w:eastAsia="仿宋_GB2312"/>
          <w:sz w:val="32"/>
        </w:rPr>
        <w:t xml:space="preserve">    邢台市气象局人事科每月发放工资单，由计划财务科负责财务支出管理，核算中心清算发放工资及补贴。年末，对职工进行工作绩效进行多方面考核，确保绩效工资及绩效补贴的发放能够有效促进职工工作积极性，更好地完成气象工作任务。</w:t>
      </w:r>
    </w:p>
    <w:p>
      <w:pPr>
        <w:spacing w:line="560" w:lineRule="atLeast"/>
        <w:ind w:firstLine="640" w:firstLineChars="200"/>
        <w:jc w:val="left"/>
        <w:rPr>
          <w:rFonts w:ascii="楷体_GB2312" w:hAnsi="黑体" w:eastAsia="楷体_GB2312"/>
          <w:sz w:val="32"/>
        </w:rPr>
      </w:pPr>
      <w:bookmarkStart w:id="41" w:name="_Toc9170_WPSOffice_Level2"/>
      <w:r>
        <w:rPr>
          <w:rFonts w:hint="eastAsia" w:ascii="楷体_GB2312" w:hAnsi="黑体" w:eastAsia="楷体_GB2312"/>
          <w:sz w:val="32"/>
        </w:rPr>
        <w:t>（三）资金管理情况</w:t>
      </w:r>
      <w:bookmarkEnd w:id="41"/>
    </w:p>
    <w:p>
      <w:pPr>
        <w:spacing w:line="560" w:lineRule="atLeast"/>
        <w:jc w:val="left"/>
        <w:rPr>
          <w:rFonts w:ascii="仿宋_GB2312" w:hAnsi="黑体" w:eastAsia="仿宋_GB2312"/>
          <w:sz w:val="32"/>
        </w:rPr>
      </w:pPr>
      <w:r>
        <w:rPr>
          <w:rFonts w:hint="eastAsia" w:ascii="仿宋_GB2312" w:hAnsi="黑体" w:eastAsia="仿宋_GB2312"/>
          <w:sz w:val="32"/>
        </w:rPr>
        <w:t xml:space="preserve">    差补费项目202</w:t>
      </w:r>
      <w:r>
        <w:rPr>
          <w:rFonts w:hint="eastAsia" w:ascii="仿宋_GB2312" w:hAnsi="黑体" w:eastAsia="仿宋_GB2312"/>
          <w:sz w:val="32"/>
          <w:lang w:val="en-US" w:eastAsia="zh-CN"/>
        </w:rPr>
        <w:t>1</w:t>
      </w:r>
      <w:r>
        <w:rPr>
          <w:rFonts w:hint="eastAsia" w:ascii="仿宋_GB2312" w:hAnsi="黑体" w:eastAsia="仿宋_GB2312"/>
          <w:sz w:val="32"/>
        </w:rPr>
        <w:t>年实收资金为2</w:t>
      </w:r>
      <w:r>
        <w:rPr>
          <w:rFonts w:hint="eastAsia" w:ascii="仿宋_GB2312" w:hAnsi="黑体" w:eastAsia="仿宋_GB2312"/>
          <w:sz w:val="32"/>
          <w:lang w:val="en-US" w:eastAsia="zh-CN"/>
        </w:rPr>
        <w:t>76</w:t>
      </w:r>
      <w:r>
        <w:rPr>
          <w:rFonts w:hint="eastAsia" w:ascii="仿宋_GB2312" w:hAnsi="黑体" w:eastAsia="仿宋_GB2312"/>
          <w:sz w:val="32"/>
        </w:rPr>
        <w:t>万元，实际支出2</w:t>
      </w:r>
      <w:r>
        <w:rPr>
          <w:rFonts w:hint="eastAsia" w:ascii="仿宋_GB2312" w:hAnsi="黑体" w:eastAsia="仿宋_GB2312"/>
          <w:sz w:val="32"/>
          <w:lang w:val="en-US" w:eastAsia="zh-CN"/>
        </w:rPr>
        <w:t>76</w:t>
      </w:r>
      <w:r>
        <w:rPr>
          <w:rFonts w:hint="eastAsia" w:ascii="仿宋_GB2312" w:hAnsi="黑体" w:eastAsia="仿宋_GB2312"/>
          <w:sz w:val="32"/>
        </w:rPr>
        <w:t>万元，无结转结余资金。</w:t>
      </w:r>
    </w:p>
    <w:p>
      <w:pPr>
        <w:spacing w:line="560" w:lineRule="atLeast"/>
        <w:ind w:firstLine="640" w:firstLineChars="200"/>
        <w:jc w:val="left"/>
        <w:rPr>
          <w:rFonts w:ascii="楷体_GB2312" w:hAnsi="黑体" w:eastAsia="楷体_GB2312"/>
          <w:sz w:val="32"/>
        </w:rPr>
      </w:pPr>
      <w:bookmarkStart w:id="42" w:name="_Toc24104_WPSOffice_Level2"/>
      <w:r>
        <w:rPr>
          <w:rFonts w:hint="eastAsia" w:ascii="楷体_GB2312" w:hAnsi="黑体" w:eastAsia="楷体_GB2312"/>
          <w:sz w:val="32"/>
        </w:rPr>
        <w:t>（四）绩效管理制度建设及执行情况</w:t>
      </w:r>
      <w:bookmarkEnd w:id="42"/>
    </w:p>
    <w:p>
      <w:pPr>
        <w:spacing w:line="560" w:lineRule="atLeast"/>
        <w:jc w:val="left"/>
        <w:rPr>
          <w:rFonts w:ascii="仿宋_GB2312" w:hAnsi="黑体" w:eastAsia="仿宋_GB2312"/>
          <w:sz w:val="32"/>
        </w:rPr>
      </w:pPr>
      <w:r>
        <w:rPr>
          <w:rFonts w:hint="eastAsia" w:ascii="仿宋_GB2312" w:hAnsi="黑体" w:eastAsia="仿宋_GB2312"/>
          <w:sz w:val="32"/>
        </w:rPr>
        <w:t xml:space="preserve">    我局领导非常重视绩效管理工作，成立了绩效管理工作领导小组，以《中华人民共和国预算法》、财政部《财政支出绩效评价管理暂行办法》等有关法律、法规、规定为依据，严格按照人事相关政策进行项目实施。</w:t>
      </w:r>
    </w:p>
    <w:p>
      <w:pPr>
        <w:spacing w:line="560" w:lineRule="atLeast"/>
        <w:ind w:firstLine="640" w:firstLineChars="200"/>
        <w:jc w:val="left"/>
        <w:rPr>
          <w:rFonts w:ascii="楷体_GB2312" w:hAnsi="黑体" w:eastAsia="楷体_GB2312"/>
          <w:sz w:val="32"/>
        </w:rPr>
      </w:pPr>
      <w:bookmarkStart w:id="43" w:name="_Toc3308_WPSOffice_Level2"/>
      <w:r>
        <w:rPr>
          <w:rFonts w:hint="eastAsia" w:ascii="楷体_GB2312" w:hAnsi="黑体" w:eastAsia="楷体_GB2312"/>
          <w:sz w:val="32"/>
        </w:rPr>
        <w:t>（五）风险管理情况</w:t>
      </w:r>
      <w:bookmarkEnd w:id="43"/>
    </w:p>
    <w:p>
      <w:pPr>
        <w:spacing w:line="560" w:lineRule="atLeast"/>
        <w:jc w:val="left"/>
        <w:rPr>
          <w:rFonts w:ascii="仿宋_GB2312" w:hAnsi="黑体" w:eastAsia="仿宋_GB2312"/>
          <w:sz w:val="32"/>
        </w:rPr>
      </w:pPr>
      <w:r>
        <w:rPr>
          <w:rFonts w:hint="eastAsia" w:ascii="仿宋_GB2312" w:hAnsi="黑体" w:eastAsia="仿宋_GB2312"/>
          <w:sz w:val="32"/>
        </w:rPr>
        <w:t xml:space="preserve">    风险有：违规发放薪酬、津补贴的风险。新设项目或继续发放已经明令取消的薪酬、津补贴；超过规定标准、范围发放薪酬、津贴等。</w:t>
      </w:r>
    </w:p>
    <w:p>
      <w:pPr>
        <w:spacing w:line="560" w:lineRule="atLeast"/>
        <w:jc w:val="left"/>
        <w:rPr>
          <w:rFonts w:ascii="仿宋_GB2312" w:hAnsi="黑体" w:eastAsia="仿宋_GB2312"/>
          <w:sz w:val="32"/>
        </w:rPr>
      </w:pPr>
      <w:r>
        <w:rPr>
          <w:rFonts w:hint="eastAsia" w:ascii="仿宋_GB2312" w:hAnsi="黑体" w:eastAsia="仿宋_GB2312"/>
          <w:sz w:val="32"/>
        </w:rPr>
        <w:t xml:space="preserve">    风险解决方案：定期进行津补贴、薪酬排查梳理，专人负责学习新政策内容，及时调整违规发放问题，做到多退少补，依规发放。</w:t>
      </w:r>
    </w:p>
    <w:p>
      <w:pPr>
        <w:spacing w:line="560" w:lineRule="atLeast"/>
        <w:jc w:val="left"/>
        <w:rPr>
          <w:rFonts w:ascii="黑体" w:hAnsi="黑体" w:eastAsia="黑体"/>
          <w:sz w:val="32"/>
        </w:rPr>
      </w:pPr>
      <w:bookmarkStart w:id="44" w:name="_Toc31932_WPSOffice_Level1"/>
      <w:r>
        <w:rPr>
          <w:rFonts w:hint="eastAsia" w:ascii="黑体" w:hAnsi="黑体" w:eastAsia="黑体"/>
          <w:sz w:val="32"/>
        </w:rPr>
        <w:t>四、项目绩效自评情况</w:t>
      </w:r>
      <w:bookmarkEnd w:id="44"/>
    </w:p>
    <w:p>
      <w:pPr>
        <w:spacing w:line="560" w:lineRule="atLeast"/>
        <w:ind w:firstLine="320" w:firstLineChars="100"/>
        <w:jc w:val="left"/>
        <w:rPr>
          <w:rFonts w:ascii="楷体_GB2312" w:hAnsi="黑体" w:eastAsia="楷体_GB2312"/>
          <w:sz w:val="32"/>
        </w:rPr>
      </w:pPr>
      <w:bookmarkStart w:id="45" w:name="_Toc14504_WPSOffice_Level2"/>
      <w:r>
        <w:rPr>
          <w:rFonts w:hint="eastAsia" w:ascii="楷体_GB2312" w:hAnsi="黑体" w:eastAsia="楷体_GB2312"/>
          <w:sz w:val="32"/>
        </w:rPr>
        <w:t>（一）项目自评组织情况</w:t>
      </w:r>
      <w:bookmarkEnd w:id="45"/>
    </w:p>
    <w:p>
      <w:pPr>
        <w:spacing w:line="560" w:lineRule="atLeast"/>
        <w:ind w:firstLine="640" w:firstLineChars="200"/>
        <w:rPr>
          <w:rFonts w:ascii="楷体_GB2312" w:eastAsia="楷体_GB2312"/>
          <w:sz w:val="32"/>
          <w:szCs w:val="32"/>
        </w:rPr>
      </w:pPr>
      <w:r>
        <w:rPr>
          <w:rFonts w:hint="eastAsia" w:ascii="楷体_GB2312" w:eastAsia="楷体_GB2312"/>
          <w:sz w:val="32"/>
          <w:szCs w:val="32"/>
        </w:rPr>
        <w:t>1.绩效评价目的</w:t>
      </w:r>
    </w:p>
    <w:p>
      <w:pPr>
        <w:spacing w:line="560" w:lineRule="atLeast"/>
        <w:ind w:firstLine="640" w:firstLineChars="200"/>
        <w:rPr>
          <w:rFonts w:ascii="仿宋_GB2312" w:eastAsia="仿宋_GB2312"/>
          <w:sz w:val="32"/>
          <w:szCs w:val="32"/>
        </w:rPr>
      </w:pPr>
      <w:r>
        <w:rPr>
          <w:rFonts w:hint="eastAsia" w:ascii="仿宋_GB2312" w:eastAsia="仿宋_GB2312"/>
          <w:sz w:val="32"/>
          <w:szCs w:val="32"/>
        </w:rPr>
        <w:t>实施项目绩效评价，需要用客观态度共同分析成功或失败的原因，可以及时总结各方面的经验教训，才能在以后的工作中保持一个较高的绩效标准，在将来避免问题的发生。</w:t>
      </w:r>
    </w:p>
    <w:p>
      <w:pPr>
        <w:spacing w:line="560" w:lineRule="atLeast"/>
        <w:ind w:firstLine="640" w:firstLineChars="200"/>
        <w:rPr>
          <w:rFonts w:ascii="楷体_GB2312" w:eastAsia="楷体_GB2312"/>
          <w:sz w:val="32"/>
          <w:szCs w:val="32"/>
        </w:rPr>
      </w:pPr>
      <w:r>
        <w:rPr>
          <w:rFonts w:hint="eastAsia" w:ascii="楷体_GB2312" w:eastAsia="楷体_GB2312"/>
          <w:sz w:val="32"/>
          <w:szCs w:val="32"/>
        </w:rPr>
        <w:t>2.绩效评价标准和评价方法</w:t>
      </w:r>
    </w:p>
    <w:p>
      <w:pPr>
        <w:spacing w:line="560" w:lineRule="atLeast"/>
        <w:ind w:firstLine="640" w:firstLineChars="200"/>
        <w:rPr>
          <w:rFonts w:ascii="仿宋_GB2312" w:eastAsia="仿宋_GB2312"/>
          <w:sz w:val="32"/>
          <w:szCs w:val="32"/>
        </w:rPr>
      </w:pPr>
      <w:r>
        <w:rPr>
          <w:rFonts w:hint="eastAsia" w:ascii="仿宋_GB2312" w:hAnsi="黑体" w:eastAsia="仿宋_GB2312"/>
          <w:sz w:val="32"/>
          <w:szCs w:val="32"/>
        </w:rPr>
        <w:t>依据《邢台市市级部门预算绩效管理办法》（邢市财预〔2019〕66号）、《邢台市市级部门整体预算绩效评价暂行办法》（邢市财预〔2019〕65号）和《邢台市市级部门绩效自评办法》（邢市财预〔2019〕75号）</w:t>
      </w:r>
      <w:r>
        <w:rPr>
          <w:rFonts w:hint="eastAsia" w:ascii="仿宋_GB2312" w:eastAsia="仿宋_GB2312"/>
          <w:sz w:val="32"/>
          <w:szCs w:val="32"/>
        </w:rPr>
        <w:t>规定的原则，结合气象局实际情况，制定绩效评价标准。</w:t>
      </w:r>
    </w:p>
    <w:p>
      <w:pPr>
        <w:spacing w:line="560" w:lineRule="atLeast"/>
        <w:ind w:firstLine="640" w:firstLineChars="200"/>
        <w:rPr>
          <w:rFonts w:ascii="仿宋_GB2312" w:eastAsia="仿宋_GB2312"/>
          <w:sz w:val="32"/>
          <w:szCs w:val="32"/>
        </w:rPr>
      </w:pPr>
      <w:r>
        <w:rPr>
          <w:rFonts w:hint="eastAsia" w:ascii="仿宋_GB2312" w:eastAsia="仿宋_GB2312"/>
          <w:sz w:val="32"/>
          <w:szCs w:val="32"/>
        </w:rPr>
        <w:t>通过专家评估，对各项绩效评价内容完成情况进行打分，并根据分值评价绩效目标完成情况的评价方法。</w:t>
      </w:r>
    </w:p>
    <w:p>
      <w:pPr>
        <w:spacing w:line="560" w:lineRule="atLeast"/>
        <w:ind w:firstLine="640" w:firstLineChars="200"/>
        <w:rPr>
          <w:rFonts w:ascii="楷体_GB2312" w:eastAsia="楷体_GB2312"/>
          <w:sz w:val="32"/>
          <w:szCs w:val="32"/>
        </w:rPr>
      </w:pPr>
      <w:r>
        <w:rPr>
          <w:rFonts w:hint="eastAsia" w:ascii="楷体_GB2312" w:eastAsia="楷体_GB2312"/>
          <w:sz w:val="32"/>
          <w:szCs w:val="32"/>
        </w:rPr>
        <w:t>3.绩效评价实施过程</w:t>
      </w:r>
    </w:p>
    <w:p>
      <w:pPr>
        <w:spacing w:line="560" w:lineRule="atLeast"/>
        <w:ind w:firstLine="640" w:firstLineChars="200"/>
        <w:rPr>
          <w:rFonts w:ascii="仿宋_GB2312" w:eastAsia="仿宋_GB2312"/>
          <w:sz w:val="32"/>
          <w:szCs w:val="32"/>
        </w:rPr>
      </w:pPr>
      <w:r>
        <w:rPr>
          <w:rFonts w:hint="eastAsia" w:ascii="仿宋_GB2312" w:eastAsia="仿宋_GB2312"/>
          <w:sz w:val="32"/>
          <w:szCs w:val="32"/>
        </w:rPr>
        <w:t>按照评价规程要求，结合平时所掌握的各项工作开展情况，我局组织专家小组从项目决策、项目管理、项目绩效三大块对项目执行情况进行了评价，在此基础上，根据市财政局对市级财政绩效考评的要求和考评内容，认真开展了绩效评价工作。</w:t>
      </w:r>
    </w:p>
    <w:p>
      <w:pPr>
        <w:spacing w:line="560" w:lineRule="atLeast"/>
        <w:ind w:firstLine="640" w:firstLineChars="200"/>
        <w:rPr>
          <w:rFonts w:ascii="楷体_GB2312" w:eastAsia="楷体_GB2312"/>
          <w:sz w:val="32"/>
          <w:szCs w:val="32"/>
        </w:rPr>
      </w:pPr>
      <w:bookmarkStart w:id="46" w:name="_Toc9153_WPSOffice_Level2"/>
      <w:r>
        <w:rPr>
          <w:rFonts w:hint="eastAsia" w:ascii="楷体_GB2312" w:eastAsia="楷体_GB2312"/>
          <w:sz w:val="32"/>
          <w:szCs w:val="32"/>
        </w:rPr>
        <w:t>（二）工作活动(项目)评价结果</w:t>
      </w:r>
      <w:bookmarkEnd w:id="46"/>
    </w:p>
    <w:p>
      <w:pPr>
        <w:spacing w:line="560" w:lineRule="atLeast"/>
        <w:ind w:firstLine="640" w:firstLineChars="200"/>
        <w:rPr>
          <w:rFonts w:ascii="仿宋_GB2312" w:eastAsia="仿宋_GB2312"/>
          <w:sz w:val="32"/>
          <w:szCs w:val="32"/>
        </w:rPr>
      </w:pPr>
      <w:r>
        <w:rPr>
          <w:rFonts w:hint="eastAsia" w:ascii="仿宋_GB2312" w:eastAsia="仿宋_GB2312"/>
          <w:sz w:val="32"/>
          <w:szCs w:val="32"/>
        </w:rPr>
        <w:t>1.项目评分说明</w:t>
      </w:r>
    </w:p>
    <w:p>
      <w:pPr>
        <w:spacing w:line="560" w:lineRule="atLeast"/>
        <w:rPr>
          <w:rFonts w:ascii="仿宋_GB2312" w:eastAsia="仿宋_GB2312"/>
          <w:sz w:val="32"/>
          <w:szCs w:val="32"/>
        </w:rPr>
      </w:pPr>
      <w:r>
        <w:rPr>
          <w:rFonts w:hint="eastAsia" w:ascii="仿宋_GB2312" w:eastAsia="仿宋_GB2312"/>
          <w:sz w:val="32"/>
          <w:szCs w:val="32"/>
        </w:rPr>
        <w:t xml:space="preserve">   （1）“工作活动”设置部分，得分15分。</w:t>
      </w:r>
    </w:p>
    <w:p>
      <w:pPr>
        <w:spacing w:line="560" w:lineRule="atLeast"/>
        <w:ind w:firstLine="640" w:firstLineChars="200"/>
        <w:rPr>
          <w:rFonts w:ascii="仿宋_GB2312" w:eastAsia="仿宋_GB2312"/>
          <w:sz w:val="32"/>
          <w:szCs w:val="32"/>
        </w:rPr>
      </w:pPr>
      <w:r>
        <w:rPr>
          <w:rFonts w:hint="eastAsia" w:ascii="仿宋_GB2312" w:eastAsia="仿宋_GB2312"/>
          <w:sz w:val="32"/>
          <w:szCs w:val="32"/>
        </w:rPr>
        <w:t>工作活动符合邢台市政府战略部署和发展规划，宏观政策、行业政策一致。工作活动与气象部门职责、工作规划和重点工作相关。工作活动项下确定的预算项目合理，与工作活动密切相关，工作活动和项目预算安排合理。</w:t>
      </w:r>
    </w:p>
    <w:p>
      <w:pPr>
        <w:spacing w:line="560" w:lineRule="atLeast"/>
        <w:ind w:firstLine="640" w:firstLineChars="200"/>
        <w:rPr>
          <w:rFonts w:ascii="仿宋_GB2312" w:eastAsia="仿宋_GB2312"/>
          <w:sz w:val="32"/>
          <w:szCs w:val="32"/>
        </w:rPr>
      </w:pPr>
      <w:r>
        <w:rPr>
          <w:rFonts w:hint="eastAsia" w:ascii="仿宋_GB2312" w:eastAsia="仿宋_GB2312"/>
          <w:sz w:val="32"/>
          <w:szCs w:val="32"/>
        </w:rPr>
        <w:t>项目绩效目标设立科学。工作活动有明确的绩效目标，绩效目标与部门职责目标、部门年度工作目标一致，绩效目标能体现工作活动的产出和效果。</w:t>
      </w:r>
    </w:p>
    <w:p>
      <w:pPr>
        <w:spacing w:line="560" w:lineRule="atLeast"/>
        <w:ind w:firstLine="640" w:firstLineChars="200"/>
        <w:rPr>
          <w:rFonts w:ascii="仿宋_GB2312" w:eastAsia="仿宋_GB2312"/>
          <w:sz w:val="32"/>
          <w:szCs w:val="32"/>
        </w:rPr>
      </w:pPr>
      <w:r>
        <w:rPr>
          <w:rFonts w:hint="eastAsia" w:ascii="仿宋_GB2312" w:eastAsia="仿宋_GB2312"/>
          <w:sz w:val="32"/>
          <w:szCs w:val="32"/>
        </w:rPr>
        <w:t>绩效指标明确。将项目绩效目标细化分解为两大类，六个具体的绩效指标，指标清晰、可衡量，与年度任务数相对应，与预算确定的项目投资额相匹配。</w:t>
      </w:r>
    </w:p>
    <w:p>
      <w:pPr>
        <w:spacing w:line="560" w:lineRule="atLeast"/>
        <w:rPr>
          <w:rFonts w:ascii="仿宋_GB2312" w:eastAsia="仿宋_GB2312"/>
          <w:sz w:val="32"/>
          <w:szCs w:val="32"/>
        </w:rPr>
      </w:pPr>
      <w:r>
        <w:rPr>
          <w:rFonts w:hint="eastAsia" w:ascii="仿宋_GB2312" w:eastAsia="仿宋_GB2312"/>
          <w:sz w:val="32"/>
          <w:szCs w:val="32"/>
        </w:rPr>
        <w:t xml:space="preserve">   （2）“工作活动”管理部分，得分25分。</w:t>
      </w:r>
    </w:p>
    <w:p>
      <w:pPr>
        <w:spacing w:line="560" w:lineRule="atLeast"/>
        <w:ind w:firstLine="640" w:firstLineChars="200"/>
        <w:rPr>
          <w:rFonts w:ascii="仿宋_GB2312" w:eastAsia="仿宋_GB2312"/>
          <w:sz w:val="32"/>
          <w:szCs w:val="32"/>
        </w:rPr>
      </w:pPr>
      <w:r>
        <w:rPr>
          <w:rFonts w:hint="eastAsia" w:ascii="仿宋_GB2312" w:eastAsia="仿宋_GB2312"/>
          <w:sz w:val="32"/>
          <w:szCs w:val="32"/>
        </w:rPr>
        <w:t>项目计划投入资金2</w:t>
      </w:r>
      <w:r>
        <w:rPr>
          <w:rFonts w:hint="eastAsia" w:ascii="仿宋_GB2312" w:eastAsia="仿宋_GB2312"/>
          <w:sz w:val="32"/>
          <w:szCs w:val="32"/>
          <w:lang w:val="en-US" w:eastAsia="zh-CN"/>
        </w:rPr>
        <w:t>76</w:t>
      </w:r>
      <w:r>
        <w:rPr>
          <w:rFonts w:hint="eastAsia" w:ascii="仿宋_GB2312" w:eastAsia="仿宋_GB2312"/>
          <w:sz w:val="32"/>
          <w:szCs w:val="32"/>
        </w:rPr>
        <w:t>万元，实际到位2</w:t>
      </w:r>
      <w:r>
        <w:rPr>
          <w:rFonts w:hint="eastAsia" w:ascii="仿宋_GB2312" w:eastAsia="仿宋_GB2312"/>
          <w:sz w:val="32"/>
          <w:szCs w:val="32"/>
          <w:lang w:val="en-US" w:eastAsia="zh-CN"/>
        </w:rPr>
        <w:t>76</w:t>
      </w:r>
      <w:r>
        <w:rPr>
          <w:rFonts w:hint="eastAsia" w:ascii="仿宋_GB2312" w:eastAsia="仿宋_GB2312"/>
          <w:sz w:val="32"/>
          <w:szCs w:val="32"/>
        </w:rPr>
        <w:t>万元，资金到位率100%，到位及时率100%。支付进度达到要求。资金使用规范，资金拨付手续完整，符合预算和国库管理有关规定，资金使用符合《预算法》等法律、法规、财务管理制度和资金管理办法规定。</w:t>
      </w:r>
    </w:p>
    <w:p>
      <w:pPr>
        <w:spacing w:line="560" w:lineRule="atLeast"/>
        <w:ind w:firstLine="640" w:firstLineChars="200"/>
        <w:rPr>
          <w:rFonts w:ascii="仿宋_GB2312" w:eastAsia="仿宋_GB2312"/>
          <w:sz w:val="32"/>
          <w:szCs w:val="32"/>
        </w:rPr>
      </w:pPr>
      <w:r>
        <w:rPr>
          <w:rFonts w:hint="eastAsia" w:ascii="仿宋_GB2312" w:eastAsia="仿宋_GB2312"/>
          <w:sz w:val="32"/>
          <w:szCs w:val="32"/>
        </w:rPr>
        <w:t>管理制度健全。制定了相应的人事管理制度和《邢台市气象局财务报销管理暂行办法》等财务管理制度，该制度根据相关的法律、法规、制度制定，合法、合规、完整。</w:t>
      </w:r>
    </w:p>
    <w:p>
      <w:pPr>
        <w:spacing w:line="560" w:lineRule="atLeast"/>
        <w:ind w:firstLine="640" w:firstLineChars="200"/>
        <w:rPr>
          <w:rFonts w:ascii="仿宋_GB2312" w:eastAsia="仿宋_GB2312"/>
          <w:sz w:val="32"/>
          <w:szCs w:val="32"/>
        </w:rPr>
      </w:pPr>
      <w:r>
        <w:rPr>
          <w:rFonts w:hint="eastAsia" w:ascii="仿宋_GB2312" w:eastAsia="仿宋_GB2312"/>
          <w:sz w:val="32"/>
          <w:szCs w:val="32"/>
        </w:rPr>
        <w:t>制度执行有效。遵守相关法律法规和财政局要求发放的津补贴相关标准，公平公正完成津补贴和绩效工资发放。</w:t>
      </w:r>
    </w:p>
    <w:p>
      <w:pPr>
        <w:spacing w:line="560" w:lineRule="atLeast"/>
        <w:ind w:firstLine="640" w:firstLineChars="200"/>
        <w:rPr>
          <w:rFonts w:ascii="仿宋_GB2312" w:eastAsia="仿宋_GB2312"/>
          <w:sz w:val="32"/>
          <w:szCs w:val="32"/>
        </w:rPr>
      </w:pPr>
      <w:r>
        <w:rPr>
          <w:rFonts w:hint="eastAsia" w:ascii="仿宋_GB2312" w:eastAsia="仿宋_GB2312"/>
          <w:sz w:val="32"/>
          <w:szCs w:val="32"/>
        </w:rPr>
        <w:t>资金使用合规，符合国家财经法规和财务管理制度以及有关资金管理办法的规定，资金的支出有完整的审批程序和手续，符合项目预算的批复，不存在截留、挤占、挪用、虚列支出等情况。</w:t>
      </w:r>
    </w:p>
    <w:p>
      <w:pPr>
        <w:spacing w:line="560" w:lineRule="atLeast"/>
        <w:ind w:firstLine="640" w:firstLineChars="200"/>
        <w:rPr>
          <w:rFonts w:ascii="仿宋_GB2312" w:eastAsia="仿宋_GB2312"/>
          <w:sz w:val="32"/>
          <w:szCs w:val="32"/>
        </w:rPr>
      </w:pPr>
      <w:r>
        <w:rPr>
          <w:rFonts w:hint="eastAsia" w:ascii="仿宋_GB2312" w:eastAsia="仿宋_GB2312"/>
          <w:sz w:val="32"/>
          <w:szCs w:val="32"/>
        </w:rPr>
        <w:t>财务监控有效，按照邢台市气象局财务管理办法，每一笔支出都经过主管局长、计划财务科审批。</w:t>
      </w:r>
    </w:p>
    <w:p>
      <w:pPr>
        <w:spacing w:line="560" w:lineRule="atLeast"/>
        <w:ind w:firstLine="640" w:firstLineChars="200"/>
        <w:rPr>
          <w:rFonts w:ascii="仿宋_GB2312" w:eastAsia="仿宋_GB2312"/>
          <w:sz w:val="32"/>
          <w:szCs w:val="32"/>
        </w:rPr>
      </w:pPr>
      <w:r>
        <w:rPr>
          <w:rFonts w:hint="eastAsia" w:ascii="仿宋_GB2312" w:eastAsia="仿宋_GB2312"/>
          <w:sz w:val="32"/>
          <w:szCs w:val="32"/>
        </w:rPr>
        <w:t>（3） “工作活动”产出方面，得分25。</w:t>
      </w:r>
    </w:p>
    <w:p>
      <w:pPr>
        <w:spacing w:line="560" w:lineRule="atLeast"/>
        <w:ind w:firstLine="640" w:firstLineChars="200"/>
        <w:rPr>
          <w:rFonts w:ascii="仿宋_GB2312" w:eastAsia="仿宋_GB2312"/>
          <w:sz w:val="32"/>
          <w:szCs w:val="32"/>
        </w:rPr>
      </w:pPr>
      <w:r>
        <w:rPr>
          <w:rFonts w:hint="eastAsia" w:ascii="仿宋_GB2312" w:eastAsia="仿宋_GB2312"/>
          <w:sz w:val="32"/>
          <w:szCs w:val="32"/>
        </w:rPr>
        <w:t>发放工资覆盖率为100%；全年发放工资12次；工作完成率100%。</w:t>
      </w:r>
    </w:p>
    <w:p>
      <w:pPr>
        <w:shd w:val="clear" w:color="auto" w:fill="FFFFFF"/>
        <w:spacing w:line="560" w:lineRule="atLeast"/>
        <w:ind w:firstLine="640" w:firstLineChars="200"/>
        <w:jc w:val="left"/>
        <w:rPr>
          <w:rFonts w:ascii="仿宋_GB2312" w:eastAsia="仿宋_GB2312"/>
          <w:sz w:val="32"/>
          <w:szCs w:val="32"/>
        </w:rPr>
      </w:pPr>
      <w:r>
        <w:rPr>
          <w:rFonts w:hint="eastAsia" w:ascii="仿宋_GB2312" w:eastAsia="仿宋_GB2312"/>
          <w:sz w:val="32"/>
          <w:szCs w:val="32"/>
        </w:rPr>
        <w:t>（4）“工作活动”效果方面，得分35分。</w:t>
      </w:r>
    </w:p>
    <w:p>
      <w:pPr>
        <w:spacing w:line="560" w:lineRule="atLeast"/>
        <w:jc w:val="left"/>
        <w:rPr>
          <w:rFonts w:ascii="仿宋_GB2312" w:hAnsi="黑体" w:eastAsia="仿宋_GB2312"/>
          <w:sz w:val="32"/>
        </w:rPr>
      </w:pPr>
      <w:r>
        <w:rPr>
          <w:rFonts w:hint="eastAsia" w:ascii="仿宋_GB2312" w:hAnsi="黑体" w:eastAsia="仿宋_GB2312"/>
          <w:sz w:val="32"/>
        </w:rPr>
        <w:t xml:space="preserve">    经济效益：提高职工工作积极性，提高预报预测准确率，积极防御气象灾害，确保社会经济稳定发展。</w:t>
      </w:r>
    </w:p>
    <w:p>
      <w:pPr>
        <w:spacing w:line="560" w:lineRule="atLeast"/>
        <w:jc w:val="left"/>
        <w:rPr>
          <w:rFonts w:ascii="仿宋_GB2312" w:hAnsi="黑体" w:eastAsia="仿宋_GB2312"/>
          <w:sz w:val="32"/>
        </w:rPr>
      </w:pPr>
      <w:r>
        <w:rPr>
          <w:rFonts w:hint="eastAsia" w:ascii="仿宋_GB2312" w:hAnsi="黑体" w:eastAsia="仿宋_GB2312"/>
          <w:sz w:val="32"/>
        </w:rPr>
        <w:t xml:space="preserve">    社会效益：实现了社会的基本稳定，按时发放在职职工津补贴，单位基本稳定，不存在上访隐患。</w:t>
      </w:r>
    </w:p>
    <w:p>
      <w:pPr>
        <w:spacing w:line="560" w:lineRule="atLeast"/>
        <w:jc w:val="left"/>
        <w:rPr>
          <w:rFonts w:ascii="仿宋_GB2312" w:hAnsi="黑体" w:eastAsia="仿宋_GB2312"/>
          <w:sz w:val="32"/>
        </w:rPr>
      </w:pPr>
      <w:r>
        <w:rPr>
          <w:rFonts w:hint="eastAsia" w:ascii="仿宋_GB2312" w:hAnsi="黑体" w:eastAsia="仿宋_GB2312"/>
          <w:sz w:val="32"/>
        </w:rPr>
        <w:t xml:space="preserve">    可持续发展效益指标：为在职职工提高工作效率，工作积极性，为做好气象预报、灾害防治等工作提供持续动力。</w:t>
      </w:r>
    </w:p>
    <w:p>
      <w:pPr>
        <w:spacing w:line="560" w:lineRule="atLeast"/>
        <w:ind w:firstLine="640" w:firstLineChars="200"/>
        <w:rPr>
          <w:rFonts w:ascii="仿宋_GB2312" w:eastAsia="仿宋_GB2312"/>
          <w:sz w:val="32"/>
          <w:szCs w:val="32"/>
        </w:rPr>
      </w:pPr>
      <w:r>
        <w:rPr>
          <w:rFonts w:hint="eastAsia" w:ascii="仿宋_GB2312" w:eastAsia="仿宋_GB2312"/>
          <w:sz w:val="32"/>
          <w:szCs w:val="32"/>
        </w:rPr>
        <w:t>2. 项目综合评价得分及评价等级</w:t>
      </w:r>
    </w:p>
    <w:p>
      <w:pPr>
        <w:spacing w:line="560" w:lineRule="atLeast"/>
        <w:ind w:firstLine="640" w:firstLineChars="200"/>
        <w:rPr>
          <w:rFonts w:ascii="仿宋_GB2312" w:eastAsia="仿宋_GB2312"/>
          <w:sz w:val="32"/>
          <w:szCs w:val="32"/>
        </w:rPr>
      </w:pPr>
      <w:r>
        <w:rPr>
          <w:rFonts w:hint="eastAsia" w:ascii="仿宋_GB2312" w:eastAsia="仿宋_GB2312"/>
          <w:sz w:val="32"/>
          <w:szCs w:val="32"/>
        </w:rPr>
        <w:t>项目综合评价得分为100分，等级为优秀。</w:t>
      </w:r>
    </w:p>
    <w:p>
      <w:pPr>
        <w:spacing w:line="560" w:lineRule="atLeast"/>
        <w:ind w:firstLine="640" w:firstLineChars="200"/>
        <w:rPr>
          <w:rFonts w:ascii="仿宋_GB2312" w:eastAsia="仿宋_GB2312"/>
          <w:sz w:val="32"/>
          <w:szCs w:val="32"/>
        </w:rPr>
      </w:pPr>
      <w:r>
        <w:rPr>
          <w:rFonts w:hint="eastAsia" w:ascii="仿宋_GB2312" w:eastAsia="仿宋_GB2312"/>
          <w:sz w:val="32"/>
          <w:szCs w:val="32"/>
        </w:rPr>
        <w:t>3.项目综合评价结论</w:t>
      </w:r>
    </w:p>
    <w:p>
      <w:pPr>
        <w:spacing w:line="560" w:lineRule="atLeast"/>
        <w:ind w:firstLine="640" w:firstLineChars="200"/>
        <w:rPr>
          <w:rFonts w:ascii="仿宋_GB2312" w:hAnsi="宋体" w:eastAsia="仿宋_GB2312"/>
          <w:sz w:val="32"/>
          <w:szCs w:val="32"/>
        </w:rPr>
      </w:pPr>
      <w:r>
        <w:rPr>
          <w:rFonts w:hint="eastAsia" w:ascii="仿宋_GB2312" w:hAnsi="宋体" w:eastAsia="仿宋_GB2312"/>
          <w:sz w:val="32"/>
          <w:szCs w:val="32"/>
        </w:rPr>
        <w:t>差补费是一项为职工发放津补贴、绩效工资的项目，该项目的及时、足额、有效实施，有利于促进职工工作积极性，满足职工日常生活、工作需求，激发职工工作动力，创新能力，更好地促进气象事业发展，为我市气象预报预测，气象灾害防御，环境污染防治等工作做出贡献。</w:t>
      </w:r>
    </w:p>
    <w:p>
      <w:pPr>
        <w:spacing w:line="560" w:lineRule="atLeast"/>
        <w:jc w:val="left"/>
        <w:rPr>
          <w:rFonts w:ascii="黑体" w:hAnsi="黑体" w:eastAsia="黑体"/>
          <w:sz w:val="32"/>
        </w:rPr>
      </w:pPr>
      <w:bookmarkStart w:id="47" w:name="_Toc781_WPSOffice_Level1"/>
      <w:r>
        <w:rPr>
          <w:rFonts w:hint="eastAsia" w:ascii="黑体" w:hAnsi="黑体" w:eastAsia="黑体"/>
          <w:sz w:val="32"/>
        </w:rPr>
        <w:t>五、项目存在的问题、改进工作的意见及建议</w:t>
      </w:r>
      <w:bookmarkEnd w:id="47"/>
    </w:p>
    <w:p>
      <w:pPr>
        <w:spacing w:line="560" w:lineRule="atLeast"/>
        <w:jc w:val="left"/>
        <w:rPr>
          <w:rFonts w:ascii="楷体_GB2312" w:hAnsi="黑体" w:eastAsia="楷体_GB2312"/>
          <w:sz w:val="32"/>
        </w:rPr>
      </w:pPr>
      <w:bookmarkStart w:id="48" w:name="_Toc19411_WPSOffice_Level2"/>
      <w:r>
        <w:rPr>
          <w:rFonts w:hint="eastAsia" w:ascii="楷体_GB2312" w:hAnsi="黑体" w:eastAsia="楷体_GB2312"/>
          <w:sz w:val="32"/>
        </w:rPr>
        <w:t>（一）项目实现绩效目标过程中存在的问题</w:t>
      </w:r>
      <w:bookmarkEnd w:id="48"/>
    </w:p>
    <w:p>
      <w:pPr>
        <w:spacing w:line="560" w:lineRule="atLeast"/>
        <w:jc w:val="left"/>
        <w:rPr>
          <w:rFonts w:ascii="仿宋_GB2312" w:hAnsi="黑体" w:eastAsia="仿宋_GB2312"/>
          <w:sz w:val="32"/>
        </w:rPr>
      </w:pPr>
      <w:r>
        <w:rPr>
          <w:rFonts w:hint="eastAsia" w:ascii="仿宋_GB2312" w:hAnsi="黑体" w:eastAsia="仿宋_GB2312"/>
          <w:sz w:val="32"/>
        </w:rPr>
        <w:t>项目执行中存在对新制定工资政策把握不及时、不准确，调资政策不能及时落实到位的问题。</w:t>
      </w:r>
    </w:p>
    <w:p>
      <w:pPr>
        <w:spacing w:line="560" w:lineRule="atLeast"/>
        <w:jc w:val="left"/>
        <w:rPr>
          <w:rFonts w:ascii="楷体_GB2312" w:hAnsi="黑体" w:eastAsia="楷体_GB2312"/>
          <w:sz w:val="32"/>
        </w:rPr>
      </w:pPr>
      <w:bookmarkStart w:id="49" w:name="_Toc9267_WPSOffice_Level2"/>
      <w:r>
        <w:rPr>
          <w:rFonts w:hint="eastAsia" w:ascii="楷体_GB2312" w:hAnsi="黑体" w:eastAsia="楷体_GB2312"/>
          <w:sz w:val="32"/>
        </w:rPr>
        <w:t>（二）项目实施中改进意见及措施</w:t>
      </w:r>
      <w:bookmarkEnd w:id="49"/>
    </w:p>
    <w:p>
      <w:pPr>
        <w:spacing w:line="560" w:lineRule="atLeast"/>
        <w:jc w:val="left"/>
        <w:rPr>
          <w:rFonts w:ascii="仿宋_GB2312" w:hAnsi="黑体" w:eastAsia="仿宋_GB2312"/>
          <w:sz w:val="32"/>
        </w:rPr>
      </w:pPr>
      <w:r>
        <w:rPr>
          <w:rFonts w:hint="eastAsia" w:ascii="仿宋_GB2312" w:hAnsi="黑体" w:eastAsia="仿宋_GB2312"/>
          <w:sz w:val="32"/>
        </w:rPr>
        <w:t>一方面，加强相关政策学习，及时准确学习新设项目、最新政策规定，纠正现行津补贴发放不符合新规定的行为；另一方面，加强督查和管理，定期对津补贴发放标准、人次、金额等进行监督检查，对于违规行为，严惩不贷。</w:t>
      </w:r>
      <w:r>
        <w:rPr>
          <w:rFonts w:ascii="楷体_GB2312" w:hAnsi="黑体" w:eastAsia="楷体_GB2312"/>
          <w:sz w:val="32"/>
        </w:rPr>
        <w:br w:type="textWrapping"/>
      </w:r>
      <w:r>
        <w:rPr>
          <w:rFonts w:hint="eastAsia" w:ascii="楷体_GB2312" w:hAnsi="黑体" w:eastAsia="楷体_GB2312"/>
          <w:sz w:val="32"/>
        </w:rPr>
        <w:t xml:space="preserve">    （三）建议</w:t>
      </w:r>
    </w:p>
    <w:p>
      <w:pPr>
        <w:spacing w:line="560" w:lineRule="atLeast"/>
        <w:ind w:firstLine="640"/>
        <w:jc w:val="left"/>
        <w:rPr>
          <w:rFonts w:ascii="仿宋_GB2312" w:hAnsi="黑体" w:eastAsia="仿宋_GB2312"/>
          <w:sz w:val="32"/>
        </w:rPr>
      </w:pPr>
      <w:r>
        <w:rPr>
          <w:rFonts w:hint="eastAsia" w:ascii="仿宋_GB2312" w:hAnsi="黑体" w:eastAsia="仿宋_GB2312"/>
          <w:sz w:val="32"/>
        </w:rPr>
        <w:t>建议稳定预算安排，保证在职人员绩效工资、津补贴等必要经费的支出，确保现有队伍的稳定，促进职员工作积极性，为气象工作做出更大贡献。</w:t>
      </w:r>
    </w:p>
    <w:p>
      <w:pPr>
        <w:spacing w:line="560" w:lineRule="atLeast"/>
        <w:ind w:firstLine="640"/>
        <w:jc w:val="left"/>
        <w:rPr>
          <w:rFonts w:ascii="黑体" w:hAnsi="黑体" w:eastAsia="黑体" w:cs="黑体"/>
          <w:sz w:val="32"/>
        </w:rPr>
      </w:pPr>
      <w:bookmarkStart w:id="50" w:name="_Toc3821_WPSOffice_Level1"/>
      <w:r>
        <w:rPr>
          <w:rFonts w:hint="eastAsia" w:ascii="黑体" w:hAnsi="黑体" w:eastAsia="黑体" w:cs="黑体"/>
          <w:sz w:val="32"/>
        </w:rPr>
        <w:t>六、附件</w:t>
      </w:r>
      <w:bookmarkEnd w:id="50"/>
    </w:p>
    <w:sectPr>
      <w:footerReference r:id="rId3" w:type="default"/>
      <w:pgSz w:w="12240" w:h="15840"/>
      <w:pgMar w:top="1440" w:right="1800" w:bottom="1440" w:left="1800"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bl05M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K&#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m5dOTIAQAAmQMAAA4AAAAAAAAAAQAgAAAAHgEAAGRycy9lMm9Eb2Mu&#10;eG1sUEsFBgAAAAAGAAYAWQEAAFgFA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2DD9F0"/>
    <w:multiLevelType w:val="singleLevel"/>
    <w:tmpl w:val="3E2DD9F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720"/>
  <w:drawingGridHorizontalSpacing w:val="120"/>
  <w:drawingGridVerticalSpacing w:val="120"/>
  <w:doNotUseMarginsForDrawingGridOrigin w:val="1"/>
  <w:drawingGridHorizontalOrigin w:val="1800"/>
  <w:drawingGridVerticalOrigin w:val="1440"/>
  <w:doNotShadeFormData w:val="1"/>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922"/>
    <w:rsid w:val="00006C7F"/>
    <w:rsid w:val="00013850"/>
    <w:rsid w:val="00066DCE"/>
    <w:rsid w:val="000A1126"/>
    <w:rsid w:val="000A6B7B"/>
    <w:rsid w:val="000B5CD2"/>
    <w:rsid w:val="000C5394"/>
    <w:rsid w:val="00116DAD"/>
    <w:rsid w:val="00134BC0"/>
    <w:rsid w:val="00154278"/>
    <w:rsid w:val="001E31F0"/>
    <w:rsid w:val="001F36B3"/>
    <w:rsid w:val="00222E91"/>
    <w:rsid w:val="002F4C8D"/>
    <w:rsid w:val="00313222"/>
    <w:rsid w:val="00352090"/>
    <w:rsid w:val="0036333F"/>
    <w:rsid w:val="003D2FF4"/>
    <w:rsid w:val="003E746B"/>
    <w:rsid w:val="0044418B"/>
    <w:rsid w:val="004C3D9F"/>
    <w:rsid w:val="00577CFA"/>
    <w:rsid w:val="005B7BD4"/>
    <w:rsid w:val="005C07D1"/>
    <w:rsid w:val="005D719D"/>
    <w:rsid w:val="00613542"/>
    <w:rsid w:val="006422F9"/>
    <w:rsid w:val="006F2DBB"/>
    <w:rsid w:val="00743B91"/>
    <w:rsid w:val="007C1B44"/>
    <w:rsid w:val="00832526"/>
    <w:rsid w:val="00863707"/>
    <w:rsid w:val="008E0922"/>
    <w:rsid w:val="00952721"/>
    <w:rsid w:val="009708FC"/>
    <w:rsid w:val="009952E7"/>
    <w:rsid w:val="00995D72"/>
    <w:rsid w:val="009973E0"/>
    <w:rsid w:val="009B1FC0"/>
    <w:rsid w:val="009B2A6B"/>
    <w:rsid w:val="009E3A21"/>
    <w:rsid w:val="00A44034"/>
    <w:rsid w:val="00A860F9"/>
    <w:rsid w:val="00AF31DB"/>
    <w:rsid w:val="00B03746"/>
    <w:rsid w:val="00B43771"/>
    <w:rsid w:val="00BE20BC"/>
    <w:rsid w:val="00C466CD"/>
    <w:rsid w:val="00C7567C"/>
    <w:rsid w:val="00CA441D"/>
    <w:rsid w:val="00CB27B4"/>
    <w:rsid w:val="00CC6C09"/>
    <w:rsid w:val="00CF3FCF"/>
    <w:rsid w:val="00D03915"/>
    <w:rsid w:val="00D045D0"/>
    <w:rsid w:val="00D92EDC"/>
    <w:rsid w:val="00F26998"/>
    <w:rsid w:val="00F47CD4"/>
    <w:rsid w:val="00FC3062"/>
    <w:rsid w:val="00FD5108"/>
    <w:rsid w:val="00FD5766"/>
    <w:rsid w:val="02502671"/>
    <w:rsid w:val="028E518D"/>
    <w:rsid w:val="09A80FE4"/>
    <w:rsid w:val="0ACE4741"/>
    <w:rsid w:val="0B7218AA"/>
    <w:rsid w:val="0C9B5B90"/>
    <w:rsid w:val="0F052A35"/>
    <w:rsid w:val="0FEF171B"/>
    <w:rsid w:val="141352AC"/>
    <w:rsid w:val="1580418F"/>
    <w:rsid w:val="15EA7405"/>
    <w:rsid w:val="18502F73"/>
    <w:rsid w:val="1DD92B7E"/>
    <w:rsid w:val="29627E62"/>
    <w:rsid w:val="2F126E01"/>
    <w:rsid w:val="311015C0"/>
    <w:rsid w:val="31B31F93"/>
    <w:rsid w:val="32737B32"/>
    <w:rsid w:val="32E427DE"/>
    <w:rsid w:val="33370C9E"/>
    <w:rsid w:val="37696AB6"/>
    <w:rsid w:val="400D2147"/>
    <w:rsid w:val="457C4AF8"/>
    <w:rsid w:val="458F482B"/>
    <w:rsid w:val="4C324162"/>
    <w:rsid w:val="4C6E4160"/>
    <w:rsid w:val="4CB608EF"/>
    <w:rsid w:val="51B87C11"/>
    <w:rsid w:val="53930EC4"/>
    <w:rsid w:val="57ED664D"/>
    <w:rsid w:val="5F8C18C4"/>
    <w:rsid w:val="63071A4D"/>
    <w:rsid w:val="646F4F2C"/>
    <w:rsid w:val="6F212E6A"/>
    <w:rsid w:val="710610A4"/>
    <w:rsid w:val="719B7F30"/>
    <w:rsid w:val="75220020"/>
    <w:rsid w:val="7CF06031"/>
    <w:rsid w:val="7EEC5EE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3"/>
    <w:qFormat/>
    <w:uiPriority w:val="0"/>
    <w:pPr>
      <w:keepNext/>
      <w:keepLines/>
      <w:spacing w:before="340" w:after="330" w:line="578" w:lineRule="auto"/>
      <w:outlineLvl w:val="0"/>
    </w:pPr>
    <w:rPr>
      <w:rFonts w:ascii="Times New Roman" w:hAnsi="Times New Roman"/>
      <w:b/>
      <w:bCs/>
      <w:kern w:val="44"/>
      <w:sz w:val="32"/>
      <w:szCs w:val="44"/>
    </w:rPr>
  </w:style>
  <w:style w:type="paragraph" w:styleId="3">
    <w:name w:val="heading 2"/>
    <w:basedOn w:val="1"/>
    <w:next w:val="1"/>
    <w:link w:val="14"/>
    <w:qFormat/>
    <w:uiPriority w:val="0"/>
    <w:pPr>
      <w:keepNext/>
      <w:keepLines/>
      <w:spacing w:before="260" w:after="260" w:line="416" w:lineRule="auto"/>
      <w:outlineLvl w:val="1"/>
    </w:pPr>
    <w:rPr>
      <w:rFonts w:ascii="Arial" w:hAnsi="Arial" w:eastAsia="楷体_GB2312"/>
      <w:bCs/>
      <w:sz w:val="32"/>
      <w:szCs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39"/>
    <w:rPr>
      <w:rFonts w:ascii="Times New Roman" w:hAnsi="Times New Roman"/>
      <w:szCs w:val="24"/>
    </w:rPr>
  </w:style>
  <w:style w:type="paragraph" w:styleId="7">
    <w:name w:val="toc 2"/>
    <w:basedOn w:val="1"/>
    <w:next w:val="1"/>
    <w:qFormat/>
    <w:uiPriority w:val="39"/>
    <w:pPr>
      <w:tabs>
        <w:tab w:val="right" w:leader="dot" w:pos="8296"/>
      </w:tabs>
      <w:ind w:left="420" w:leftChars="200"/>
    </w:pPr>
    <w:rPr>
      <w:rFonts w:ascii="Times New Roman" w:hAnsi="Times New Roman"/>
      <w:szCs w:val="24"/>
    </w:rPr>
  </w:style>
  <w:style w:type="character" w:styleId="10">
    <w:name w:val="Hyperlink"/>
    <w:basedOn w:val="9"/>
    <w:qFormat/>
    <w:uiPriority w:val="99"/>
    <w:rPr>
      <w:color w:val="0000FF"/>
      <w:u w:val="single"/>
    </w:rPr>
  </w:style>
  <w:style w:type="character" w:customStyle="1" w:styleId="11">
    <w:name w:val="页眉 Char"/>
    <w:basedOn w:val="9"/>
    <w:link w:val="5"/>
    <w:semiHidden/>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标题 1 Char"/>
    <w:basedOn w:val="9"/>
    <w:link w:val="2"/>
    <w:qFormat/>
    <w:uiPriority w:val="0"/>
    <w:rPr>
      <w:rFonts w:ascii="Times New Roman" w:hAnsi="Times New Roman"/>
      <w:b/>
      <w:bCs/>
      <w:kern w:val="44"/>
      <w:sz w:val="32"/>
      <w:szCs w:val="44"/>
    </w:rPr>
  </w:style>
  <w:style w:type="character" w:customStyle="1" w:styleId="14">
    <w:name w:val="标题 2 Char"/>
    <w:basedOn w:val="9"/>
    <w:link w:val="3"/>
    <w:qFormat/>
    <w:uiPriority w:val="0"/>
    <w:rPr>
      <w:rFonts w:ascii="Arial" w:hAnsi="Arial" w:eastAsia="楷体_GB2312"/>
      <w:bCs/>
      <w:kern w:val="2"/>
      <w:sz w:val="32"/>
      <w:szCs w:val="32"/>
    </w:rPr>
  </w:style>
  <w:style w:type="paragraph" w:customStyle="1" w:styleId="15">
    <w:name w:val="WPSOffice手动目录 1"/>
    <w:qFormat/>
    <w:uiPriority w:val="0"/>
    <w:rPr>
      <w:rFonts w:ascii="Calibri" w:hAnsi="Calibri" w:eastAsia="宋体" w:cs="Times New Roman"/>
      <w:lang w:val="en-US" w:eastAsia="zh-CN" w:bidi="ar-SA"/>
    </w:rPr>
  </w:style>
  <w:style w:type="paragraph" w:customStyle="1" w:styleId="16">
    <w:name w:val="WPSOffice手动目录 2"/>
    <w:qFormat/>
    <w:uiPriority w:val="0"/>
    <w:pPr>
      <w:ind w:left="200" w:leftChars="200"/>
    </w:pPr>
    <w:rPr>
      <w:rFonts w:ascii="Calibri" w:hAnsi="Calibri" w:eastAsia="宋体" w:cs="Times New Roman"/>
      <w:lang w:val="en-US" w:eastAsia="zh-CN" w:bidi="ar-SA"/>
    </w:rPr>
  </w:style>
  <w:style w:type="character" w:customStyle="1" w:styleId="17">
    <w:name w:val="font11"/>
    <w:basedOn w:val="9"/>
    <w:qFormat/>
    <w:uiPriority w:val="0"/>
    <w:rPr>
      <w:rFonts w:hint="eastAsia" w:ascii="仿宋_GB2312" w:eastAsia="仿宋_GB2312" w:cs="仿宋_GB2312"/>
      <w:color w:val="000000"/>
      <w:sz w:val="28"/>
      <w:szCs w:val="28"/>
      <w:u w:val="single"/>
    </w:rPr>
  </w:style>
  <w:style w:type="character" w:customStyle="1" w:styleId="18">
    <w:name w:val="font31"/>
    <w:basedOn w:val="9"/>
    <w:qFormat/>
    <w:uiPriority w:val="0"/>
    <w:rPr>
      <w:rFonts w:hint="eastAsia" w:ascii="仿宋_GB2312" w:eastAsia="仿宋_GB2312" w:cs="仿宋_GB2312"/>
      <w:color w:val="000000"/>
      <w:sz w:val="28"/>
      <w:szCs w:val="28"/>
      <w:u w:val="none"/>
    </w:rPr>
  </w:style>
  <w:style w:type="character" w:customStyle="1" w:styleId="19">
    <w:name w:val="font01"/>
    <w:basedOn w:val="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1282</Words>
  <Characters>7310</Characters>
  <Lines>60</Lines>
  <Paragraphs>17</Paragraphs>
  <TotalTime>4</TotalTime>
  <ScaleCrop>false</ScaleCrop>
  <LinksUpToDate>false</LinksUpToDate>
  <CharactersWithSpaces>8575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2021-03-03T00:50:00Z</dcterms:created>
  <dc:creator>纯子</dc:creator>
  <cp:lastModifiedBy>计划财务科办公(拟稿)</cp:lastModifiedBy>
  <dcterms:modified xsi:type="dcterms:W3CDTF">2022-03-28T01:18:44Z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24C431CD211045FFB912679D81083379</vt:lpwstr>
  </property>
</Properties>
</file>